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2B" w:rsidRDefault="0007052B" w:rsidP="0007052B">
      <w:pPr>
        <w:tabs>
          <w:tab w:val="left" w:pos="0"/>
          <w:tab w:val="left" w:pos="5040"/>
        </w:tabs>
        <w:ind w:left="5040" w:right="-82" w:hanging="5040"/>
        <w:rPr>
          <w:sz w:val="36"/>
        </w:rPr>
      </w:pPr>
      <w:bookmarkStart w:id="0" w:name="_GoBack"/>
      <w:bookmarkEnd w:id="0"/>
      <w:r>
        <w:rPr>
          <w:noProof/>
          <w:lang w:val="en-GB" w:eastAsia="zh-TW"/>
        </w:rPr>
        <w:drawing>
          <wp:anchor distT="0" distB="0" distL="114300" distR="114300" simplePos="0" relativeHeight="251658240" behindDoc="0" locked="0" layoutInCell="1" allowOverlap="1" wp14:anchorId="457BE7D7" wp14:editId="3D79FF0B">
            <wp:simplePos x="0" y="0"/>
            <wp:positionH relativeFrom="margin">
              <wp:posOffset>42248</wp:posOffset>
            </wp:positionH>
            <wp:positionV relativeFrom="paragraph">
              <wp:posOffset>-160157</wp:posOffset>
            </wp:positionV>
            <wp:extent cx="1655180" cy="2006295"/>
            <wp:effectExtent l="19050" t="19050" r="21590" b="1333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80" cy="20062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ab/>
      </w:r>
      <w:r>
        <w:rPr>
          <w:sz w:val="36"/>
        </w:rPr>
        <w:tab/>
        <w:t>Prof.</w:t>
      </w:r>
      <w:r w:rsidR="006C4F13">
        <w:rPr>
          <w:sz w:val="36"/>
        </w:rPr>
        <w:t xml:space="preserve"> </w:t>
      </w:r>
      <w:r>
        <w:rPr>
          <w:sz w:val="36"/>
        </w:rPr>
        <w:t xml:space="preserve">Dr. </w:t>
      </w:r>
      <w:r w:rsidRPr="00861146">
        <w:rPr>
          <w:sz w:val="36"/>
        </w:rPr>
        <w:t>Michael Tröge</w:t>
      </w:r>
    </w:p>
    <w:p w:rsidR="000A0218" w:rsidRPr="00861146" w:rsidRDefault="0007052B" w:rsidP="0007052B">
      <w:pPr>
        <w:tabs>
          <w:tab w:val="left" w:pos="0"/>
          <w:tab w:val="left" w:pos="5040"/>
        </w:tabs>
        <w:ind w:left="5040" w:right="-82" w:hanging="5040"/>
      </w:pPr>
      <w:r>
        <w:tab/>
      </w:r>
      <w:r>
        <w:tab/>
      </w:r>
      <w:r w:rsidR="000A0218" w:rsidRPr="00861146">
        <w:t>ESCP</w:t>
      </w:r>
      <w:r w:rsidR="00861146">
        <w:t xml:space="preserve"> </w:t>
      </w:r>
      <w:r w:rsidR="00861146" w:rsidRPr="00861146">
        <w:t xml:space="preserve">Business </w:t>
      </w:r>
      <w:r w:rsidR="00861146">
        <w:t>S</w:t>
      </w:r>
      <w:r w:rsidR="00861146" w:rsidRPr="00861146">
        <w:t>chool</w:t>
      </w:r>
      <w:r w:rsidR="000A0218" w:rsidRPr="00861146">
        <w:t xml:space="preserve">, </w:t>
      </w:r>
    </w:p>
    <w:p w:rsidR="000A0218" w:rsidRPr="00043C5D" w:rsidRDefault="0007052B" w:rsidP="000A0218">
      <w:pPr>
        <w:tabs>
          <w:tab w:val="left" w:pos="5040"/>
        </w:tabs>
        <w:ind w:left="5040" w:right="-82" w:hanging="5040"/>
        <w:rPr>
          <w:sz w:val="32"/>
          <w:lang w:val="fr-FR"/>
        </w:rPr>
      </w:pPr>
      <w:r>
        <w:tab/>
      </w:r>
      <w:r>
        <w:tab/>
      </w:r>
      <w:r w:rsidR="000A0218" w:rsidRPr="00043C5D">
        <w:rPr>
          <w:lang w:val="fr-FR"/>
        </w:rPr>
        <w:t xml:space="preserve">Département Finance, </w:t>
      </w:r>
    </w:p>
    <w:p w:rsidR="000A0218" w:rsidRPr="00043C5D" w:rsidRDefault="000A0218" w:rsidP="000A0218">
      <w:pPr>
        <w:tabs>
          <w:tab w:val="left" w:pos="5040"/>
        </w:tabs>
        <w:ind w:left="5040" w:right="-82" w:hanging="5040"/>
        <w:rPr>
          <w:lang w:val="fr-FR"/>
        </w:rPr>
      </w:pPr>
      <w:r w:rsidRPr="00043C5D">
        <w:rPr>
          <w:sz w:val="32"/>
          <w:lang w:val="fr-FR"/>
        </w:rPr>
        <w:tab/>
      </w:r>
      <w:r w:rsidRPr="00043C5D">
        <w:rPr>
          <w:sz w:val="32"/>
          <w:lang w:val="fr-FR"/>
        </w:rPr>
        <w:tab/>
      </w:r>
      <w:r w:rsidRPr="00043C5D">
        <w:rPr>
          <w:lang w:val="fr-FR"/>
        </w:rPr>
        <w:t xml:space="preserve">97, av. de la République, </w:t>
      </w:r>
    </w:p>
    <w:p w:rsidR="000A0218" w:rsidRPr="00043C5D" w:rsidRDefault="000A0218" w:rsidP="000A0218">
      <w:pPr>
        <w:tabs>
          <w:tab w:val="left" w:pos="5040"/>
        </w:tabs>
        <w:ind w:left="5040" w:right="-82" w:hanging="5040"/>
        <w:rPr>
          <w:lang w:val="fr-FR"/>
        </w:rPr>
      </w:pPr>
      <w:r w:rsidRPr="00043C5D">
        <w:rPr>
          <w:lang w:val="fr-FR"/>
        </w:rPr>
        <w:tab/>
      </w:r>
      <w:r w:rsidRPr="00043C5D">
        <w:rPr>
          <w:lang w:val="fr-FR"/>
        </w:rPr>
        <w:tab/>
        <w:t>75443 Paris, Cedex 11, France</w:t>
      </w:r>
    </w:p>
    <w:p w:rsidR="000A0218" w:rsidRPr="008D7B60" w:rsidRDefault="000A0218" w:rsidP="000A0218">
      <w:pPr>
        <w:tabs>
          <w:tab w:val="left" w:pos="5040"/>
        </w:tabs>
        <w:ind w:left="5040" w:right="-82" w:hanging="5040"/>
        <w:rPr>
          <w:lang w:val="fr-FR"/>
        </w:rPr>
      </w:pPr>
      <w:r w:rsidRPr="003C601B">
        <w:rPr>
          <w:lang w:val="fr-FR"/>
        </w:rPr>
        <w:tab/>
      </w:r>
      <w:r w:rsidRPr="003C601B">
        <w:rPr>
          <w:lang w:val="fr-FR"/>
        </w:rPr>
        <w:tab/>
      </w:r>
      <w:r w:rsidRPr="008D7B60">
        <w:rPr>
          <w:lang w:val="fr-FR"/>
        </w:rPr>
        <w:t>Tel : *33:149232601</w:t>
      </w:r>
    </w:p>
    <w:p w:rsidR="003C601B" w:rsidRDefault="0007052B" w:rsidP="003C601B">
      <w:pPr>
        <w:tabs>
          <w:tab w:val="left" w:pos="5040"/>
        </w:tabs>
        <w:ind w:left="5040" w:right="-82" w:hanging="5040"/>
        <w:rPr>
          <w:lang w:val="fr-FR"/>
        </w:rPr>
      </w:pPr>
      <w:r w:rsidRPr="00EC5380">
        <w:rPr>
          <w:lang w:val="fr-FR"/>
        </w:rPr>
        <w:t xml:space="preserve">                        </w:t>
      </w:r>
      <w:r w:rsidR="003C601B" w:rsidRPr="008D7B60">
        <w:rPr>
          <w:lang w:val="fr-FR"/>
        </w:rPr>
        <w:tab/>
      </w:r>
      <w:r w:rsidR="003C601B" w:rsidRPr="008D7B60">
        <w:rPr>
          <w:lang w:val="fr-FR"/>
        </w:rPr>
        <w:tab/>
        <w:t xml:space="preserve">E-Mail: </w:t>
      </w:r>
      <w:hyperlink r:id="rId9" w:history="1">
        <w:r w:rsidRPr="00F86C9C">
          <w:rPr>
            <w:rStyle w:val="Hyperlink"/>
            <w:lang w:val="fr-FR"/>
          </w:rPr>
          <w:t>troege@escp.eu</w:t>
        </w:r>
      </w:hyperlink>
    </w:p>
    <w:p w:rsidR="0007052B" w:rsidRDefault="0007052B" w:rsidP="003C601B">
      <w:pPr>
        <w:tabs>
          <w:tab w:val="left" w:pos="5040"/>
        </w:tabs>
        <w:ind w:left="5040" w:right="-82" w:hanging="504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07052B">
        <w:rPr>
          <w:lang w:val="fr-FR"/>
        </w:rPr>
        <w:t>https://sites.google.com/view/michaeltroege/</w:t>
      </w:r>
    </w:p>
    <w:p w:rsidR="0007052B" w:rsidRDefault="0007052B" w:rsidP="003C601B">
      <w:pPr>
        <w:tabs>
          <w:tab w:val="left" w:pos="5040"/>
        </w:tabs>
        <w:ind w:left="5040" w:right="-82" w:hanging="5040"/>
        <w:rPr>
          <w:lang w:val="fr-FR"/>
        </w:rPr>
      </w:pPr>
    </w:p>
    <w:p w:rsidR="0007052B" w:rsidRPr="008D7B60" w:rsidRDefault="0007052B" w:rsidP="003C601B">
      <w:pPr>
        <w:tabs>
          <w:tab w:val="left" w:pos="5040"/>
        </w:tabs>
        <w:ind w:left="5040" w:right="-82" w:hanging="5040"/>
        <w:rPr>
          <w:lang w:val="fr-FR"/>
        </w:rPr>
      </w:pPr>
    </w:p>
    <w:p w:rsidR="003C601B" w:rsidRPr="008D7B60" w:rsidRDefault="003C601B" w:rsidP="003C601B">
      <w:pPr>
        <w:pBdr>
          <w:bottom w:val="double" w:sz="6" w:space="1" w:color="auto"/>
        </w:pBdr>
        <w:tabs>
          <w:tab w:val="left" w:pos="5387"/>
        </w:tabs>
        <w:rPr>
          <w:lang w:val="fr-FR"/>
        </w:rPr>
      </w:pPr>
      <w:r w:rsidRPr="008D7B60">
        <w:rPr>
          <w:lang w:val="fr-FR"/>
        </w:rPr>
        <w:tab/>
      </w:r>
    </w:p>
    <w:p w:rsidR="003C601B" w:rsidRPr="008D7B60" w:rsidRDefault="003C601B" w:rsidP="003C601B">
      <w:pPr>
        <w:tabs>
          <w:tab w:val="left" w:pos="5040"/>
        </w:tabs>
        <w:ind w:left="5040" w:right="-82" w:hanging="5040"/>
        <w:rPr>
          <w:lang w:val="fr-FR"/>
        </w:rPr>
      </w:pPr>
    </w:p>
    <w:p w:rsidR="000A0218" w:rsidRPr="0058014D" w:rsidRDefault="003C601B" w:rsidP="000A0218">
      <w:pPr>
        <w:pStyle w:val="Heading1"/>
        <w:numPr>
          <w:ilvl w:val="0"/>
          <w:numId w:val="0"/>
        </w:numPr>
        <w:rPr>
          <w:b w:val="0"/>
          <w:szCs w:val="24"/>
        </w:rPr>
      </w:pPr>
      <w:r>
        <w:rPr>
          <w:b w:val="0"/>
          <w:szCs w:val="24"/>
        </w:rPr>
        <w:t>Academic Positions</w:t>
      </w:r>
      <w:r w:rsidR="000A0218" w:rsidRPr="0058014D">
        <w:rPr>
          <w:b w:val="0"/>
          <w:szCs w:val="24"/>
        </w:rPr>
        <w:t xml:space="preserve"> </w:t>
      </w:r>
    </w:p>
    <w:p w:rsidR="00993A1A" w:rsidRPr="0058014D" w:rsidRDefault="00993A1A" w:rsidP="00993A1A"/>
    <w:p w:rsidR="000A0218" w:rsidRPr="0058014D" w:rsidRDefault="00C3049E" w:rsidP="00C3049E">
      <w:pPr>
        <w:tabs>
          <w:tab w:val="left" w:pos="2552"/>
        </w:tabs>
        <w:ind w:firstLine="567"/>
      </w:pPr>
      <w:r w:rsidRPr="0058014D">
        <w:t>Since 2012</w:t>
      </w:r>
      <w:r w:rsidRPr="0058014D">
        <w:tab/>
      </w:r>
      <w:r w:rsidR="000A0218" w:rsidRPr="0058014D">
        <w:t>Full Professor of Finance, ESCP</w:t>
      </w:r>
      <w:r w:rsidR="002B7343">
        <w:t xml:space="preserve"> Business School</w:t>
      </w:r>
      <w:r w:rsidR="000A0218" w:rsidRPr="0058014D">
        <w:t>, Paris Campus</w:t>
      </w:r>
      <w:r w:rsidR="000A0218" w:rsidRPr="0058014D">
        <w:tab/>
      </w:r>
      <w:r w:rsidR="000A0218" w:rsidRPr="0058014D">
        <w:tab/>
      </w:r>
    </w:p>
    <w:p w:rsidR="000A0218" w:rsidRPr="0058014D" w:rsidRDefault="000A0218" w:rsidP="00C3049E">
      <w:pPr>
        <w:tabs>
          <w:tab w:val="left" w:pos="2552"/>
        </w:tabs>
        <w:ind w:firstLine="567"/>
      </w:pPr>
    </w:p>
    <w:p w:rsidR="00E924B5" w:rsidRPr="0058014D" w:rsidRDefault="00AD4D03" w:rsidP="00C3049E">
      <w:pPr>
        <w:tabs>
          <w:tab w:val="left" w:pos="2552"/>
        </w:tabs>
        <w:ind w:firstLine="567"/>
      </w:pPr>
      <w:r w:rsidRPr="0058014D">
        <w:t>May</w:t>
      </w:r>
      <w:r w:rsidR="00E924B5" w:rsidRPr="0058014D">
        <w:t xml:space="preserve"> - </w:t>
      </w:r>
      <w:r w:rsidRPr="0058014D">
        <w:t>Aug</w:t>
      </w:r>
      <w:r w:rsidR="00E924B5" w:rsidRPr="0058014D">
        <w:t>. 20</w:t>
      </w:r>
      <w:r w:rsidRPr="0058014D">
        <w:t>14</w:t>
      </w:r>
      <w:r w:rsidR="00E924B5" w:rsidRPr="0058014D">
        <w:t xml:space="preserve">    </w:t>
      </w:r>
      <w:r w:rsidR="00E924B5" w:rsidRPr="0058014D">
        <w:tab/>
        <w:t>Visiting Professor, E</w:t>
      </w:r>
      <w:r w:rsidR="00B321C8">
        <w:t>S</w:t>
      </w:r>
      <w:r w:rsidR="00E924B5" w:rsidRPr="0058014D">
        <w:t>MT, Berlin</w:t>
      </w:r>
    </w:p>
    <w:p w:rsidR="00E924B5" w:rsidRPr="0058014D" w:rsidRDefault="00E924B5" w:rsidP="00C3049E">
      <w:pPr>
        <w:tabs>
          <w:tab w:val="left" w:pos="2552"/>
        </w:tabs>
        <w:ind w:firstLine="567"/>
      </w:pPr>
    </w:p>
    <w:p w:rsidR="000A0218" w:rsidRPr="0058014D" w:rsidRDefault="000A0218" w:rsidP="00C3049E">
      <w:pPr>
        <w:tabs>
          <w:tab w:val="left" w:pos="2552"/>
        </w:tabs>
        <w:ind w:firstLine="567"/>
      </w:pPr>
      <w:r w:rsidRPr="0058014D">
        <w:t>2006</w:t>
      </w:r>
      <w:r w:rsidR="000E6769" w:rsidRPr="0058014D">
        <w:t>-2012</w:t>
      </w:r>
      <w:r w:rsidRPr="0058014D">
        <w:tab/>
        <w:t>Associate Professor of Finance, ESCP</w:t>
      </w:r>
      <w:r w:rsidR="002B7343">
        <w:t xml:space="preserve"> Business School</w:t>
      </w:r>
      <w:r w:rsidRPr="0058014D">
        <w:t>, Paris Campus</w:t>
      </w:r>
      <w:r w:rsidRPr="0058014D">
        <w:tab/>
      </w:r>
      <w:r w:rsidRPr="0058014D">
        <w:tab/>
      </w:r>
      <w:r w:rsidRPr="0058014D">
        <w:tab/>
      </w:r>
      <w:r w:rsidRPr="0058014D">
        <w:tab/>
      </w:r>
      <w:r w:rsidRPr="0058014D">
        <w:tab/>
      </w:r>
      <w:r w:rsidRPr="0058014D">
        <w:tab/>
      </w:r>
    </w:p>
    <w:p w:rsidR="000A0218" w:rsidRPr="0058014D" w:rsidRDefault="000A0218" w:rsidP="00C3049E">
      <w:pPr>
        <w:tabs>
          <w:tab w:val="left" w:pos="2552"/>
        </w:tabs>
        <w:ind w:firstLine="567"/>
      </w:pPr>
      <w:r w:rsidRPr="0058014D">
        <w:t>Sept.</w:t>
      </w:r>
      <w:r w:rsidR="00130E24" w:rsidRPr="0058014D">
        <w:t xml:space="preserve"> </w:t>
      </w:r>
      <w:r w:rsidRPr="0058014D">
        <w:t>- Dec.</w:t>
      </w:r>
      <w:r w:rsidR="002D2015" w:rsidRPr="0058014D">
        <w:t xml:space="preserve"> </w:t>
      </w:r>
      <w:r w:rsidRPr="0058014D">
        <w:t>2005</w:t>
      </w:r>
      <w:r w:rsidRPr="0058014D">
        <w:tab/>
      </w:r>
      <w:r w:rsidR="008726C5" w:rsidRPr="0058014D">
        <w:t>Scientific Advisor</w:t>
      </w:r>
      <w:r w:rsidRPr="0058014D">
        <w:t xml:space="preserve">, Chief Economist Team, European Commission, DG </w:t>
      </w:r>
      <w:r w:rsidR="008726C5" w:rsidRPr="0058014D">
        <w:t>Comp</w:t>
      </w:r>
      <w:r w:rsidRPr="0058014D">
        <w:t xml:space="preserve"> </w:t>
      </w:r>
      <w:r w:rsidRPr="0058014D">
        <w:tab/>
      </w:r>
      <w:r w:rsidRPr="0058014D">
        <w:tab/>
      </w:r>
      <w:r w:rsidRPr="0058014D">
        <w:tab/>
      </w:r>
      <w:r w:rsidRPr="0058014D">
        <w:tab/>
      </w:r>
    </w:p>
    <w:p w:rsidR="000A0218" w:rsidRPr="00EC5380" w:rsidRDefault="00130E24" w:rsidP="00C3049E">
      <w:pPr>
        <w:tabs>
          <w:tab w:val="left" w:pos="2552"/>
        </w:tabs>
        <w:ind w:firstLine="567"/>
      </w:pPr>
      <w:r w:rsidRPr="00EC5380">
        <w:t xml:space="preserve">June - </w:t>
      </w:r>
      <w:r w:rsidR="000A0218" w:rsidRPr="00EC5380">
        <w:t>Sept</w:t>
      </w:r>
      <w:r w:rsidR="002D2015" w:rsidRPr="00EC5380">
        <w:t>.</w:t>
      </w:r>
      <w:r w:rsidR="000A0218" w:rsidRPr="00EC5380">
        <w:t xml:space="preserve"> 2002    </w:t>
      </w:r>
      <w:r w:rsidR="000A0218" w:rsidRPr="00EC5380">
        <w:tab/>
        <w:t>Visiting Researcher, CORE, Université catholique de Louvain, Louvain-la-</w:t>
      </w:r>
      <w:r w:rsidR="000A0218" w:rsidRPr="00EC5380">
        <w:tab/>
      </w:r>
      <w:r w:rsidR="000A0218" w:rsidRPr="00EC5380">
        <w:tab/>
        <w:t>Neuve, Belgium</w:t>
      </w:r>
    </w:p>
    <w:p w:rsidR="002D2015" w:rsidRPr="00EC5380" w:rsidRDefault="002D2015" w:rsidP="00C3049E">
      <w:pPr>
        <w:tabs>
          <w:tab w:val="left" w:pos="2552"/>
        </w:tabs>
        <w:ind w:firstLine="567"/>
      </w:pPr>
    </w:p>
    <w:p w:rsidR="002D2015" w:rsidRPr="0058014D" w:rsidRDefault="002D2015" w:rsidP="00C3049E">
      <w:pPr>
        <w:tabs>
          <w:tab w:val="left" w:pos="2552"/>
        </w:tabs>
        <w:ind w:firstLine="567"/>
      </w:pPr>
      <w:r w:rsidRPr="0058014D">
        <w:t>2000- 200</w:t>
      </w:r>
      <w:r w:rsidR="000E6769" w:rsidRPr="0058014D">
        <w:t>6</w:t>
      </w:r>
      <w:r w:rsidRPr="0058014D">
        <w:t xml:space="preserve"> </w:t>
      </w:r>
      <w:r w:rsidRPr="0058014D">
        <w:tab/>
        <w:t>ESCP</w:t>
      </w:r>
      <w:r w:rsidR="002B7343">
        <w:t xml:space="preserve"> Business School</w:t>
      </w:r>
      <w:r w:rsidRPr="0058014D">
        <w:t>, Assistant Professor in Finance, Paris Campus</w:t>
      </w:r>
    </w:p>
    <w:p w:rsidR="002D2015" w:rsidRPr="0058014D" w:rsidRDefault="002D2015" w:rsidP="00C3049E">
      <w:pPr>
        <w:tabs>
          <w:tab w:val="left" w:pos="2552"/>
        </w:tabs>
        <w:ind w:firstLine="567"/>
      </w:pPr>
    </w:p>
    <w:p w:rsidR="000A0218" w:rsidRPr="0058014D" w:rsidRDefault="000A0218" w:rsidP="00C3049E">
      <w:pPr>
        <w:tabs>
          <w:tab w:val="left" w:pos="2552"/>
        </w:tabs>
        <w:ind w:firstLine="567"/>
      </w:pPr>
      <w:r w:rsidRPr="0058014D">
        <w:t>1999- 2000</w:t>
      </w:r>
      <w:r w:rsidRPr="0058014D">
        <w:tab/>
        <w:t xml:space="preserve">Postdoctoral researcher, J.L. Kellogg Graduate School of Management,   </w:t>
      </w:r>
      <w:r w:rsidRPr="0058014D">
        <w:tab/>
      </w:r>
      <w:r w:rsidRPr="0058014D">
        <w:tab/>
        <w:t xml:space="preserve">MEDS Department,  </w:t>
      </w:r>
    </w:p>
    <w:p w:rsidR="000A0218" w:rsidRPr="0058014D" w:rsidRDefault="000A0218" w:rsidP="00C3049E">
      <w:pPr>
        <w:tabs>
          <w:tab w:val="left" w:pos="2552"/>
        </w:tabs>
        <w:ind w:firstLine="567"/>
      </w:pPr>
    </w:p>
    <w:p w:rsidR="000A0218" w:rsidRPr="00757F62" w:rsidRDefault="000A0218" w:rsidP="00C3049E">
      <w:pPr>
        <w:tabs>
          <w:tab w:val="left" w:pos="2552"/>
        </w:tabs>
        <w:ind w:firstLine="567"/>
        <w:rPr>
          <w:lang w:val="de-DE"/>
        </w:rPr>
      </w:pPr>
      <w:r w:rsidRPr="00757F62">
        <w:rPr>
          <w:lang w:val="de-DE"/>
        </w:rPr>
        <w:t>1996-</w:t>
      </w:r>
      <w:r w:rsidR="002D2015" w:rsidRPr="00757F62">
        <w:rPr>
          <w:lang w:val="de-DE"/>
        </w:rPr>
        <w:t xml:space="preserve"> </w:t>
      </w:r>
      <w:r w:rsidRPr="00757F62">
        <w:rPr>
          <w:lang w:val="de-DE"/>
        </w:rPr>
        <w:t>1999</w:t>
      </w:r>
      <w:r w:rsidRPr="00757F62">
        <w:rPr>
          <w:lang w:val="de-DE"/>
        </w:rPr>
        <w:tab/>
        <w:t xml:space="preserve">Wissenschaftlicher Mitarbeiter, Wissenschaftszentrum Berlin (WZB), </w:t>
      </w:r>
      <w:r w:rsidRPr="00757F62">
        <w:rPr>
          <w:lang w:val="de-DE"/>
        </w:rPr>
        <w:tab/>
      </w:r>
      <w:r w:rsidRPr="00757F62">
        <w:rPr>
          <w:lang w:val="de-DE"/>
        </w:rPr>
        <w:tab/>
        <w:t>Department Market Processes and Corporate Development</w:t>
      </w:r>
    </w:p>
    <w:p w:rsidR="000A0218" w:rsidRPr="00757F62" w:rsidRDefault="000A0218" w:rsidP="00C3049E">
      <w:pPr>
        <w:tabs>
          <w:tab w:val="left" w:pos="2552"/>
        </w:tabs>
        <w:ind w:firstLine="567"/>
        <w:rPr>
          <w:lang w:val="de-DE"/>
        </w:rPr>
      </w:pPr>
    </w:p>
    <w:p w:rsidR="000A0218" w:rsidRPr="00757F62" w:rsidRDefault="000A0218" w:rsidP="000A0218">
      <w:pPr>
        <w:pStyle w:val="Heading1"/>
        <w:numPr>
          <w:ilvl w:val="0"/>
          <w:numId w:val="0"/>
        </w:numPr>
        <w:rPr>
          <w:b w:val="0"/>
          <w:szCs w:val="24"/>
          <w:lang w:val="fr-FR"/>
        </w:rPr>
      </w:pPr>
      <w:r w:rsidRPr="00757F62">
        <w:rPr>
          <w:b w:val="0"/>
          <w:szCs w:val="24"/>
          <w:lang w:val="fr-FR"/>
        </w:rPr>
        <w:t>Education</w:t>
      </w:r>
    </w:p>
    <w:p w:rsidR="000A0218" w:rsidRPr="00757F62" w:rsidRDefault="000A0218" w:rsidP="000A0218">
      <w:pPr>
        <w:ind w:left="567"/>
        <w:rPr>
          <w:sz w:val="20"/>
          <w:lang w:val="fr-FR"/>
        </w:rPr>
      </w:pPr>
    </w:p>
    <w:p w:rsidR="000A0218" w:rsidRPr="00043C5D" w:rsidRDefault="000A0218" w:rsidP="00C3049E">
      <w:pPr>
        <w:tabs>
          <w:tab w:val="left" w:pos="2552"/>
        </w:tabs>
        <w:ind w:firstLine="567"/>
        <w:rPr>
          <w:lang w:val="fr-FR"/>
        </w:rPr>
      </w:pPr>
      <w:r w:rsidRPr="00043C5D">
        <w:rPr>
          <w:lang w:val="fr-FR"/>
        </w:rPr>
        <w:t>Jan</w:t>
      </w:r>
      <w:r w:rsidR="002D2015" w:rsidRPr="00043C5D">
        <w:rPr>
          <w:lang w:val="fr-FR"/>
        </w:rPr>
        <w:t>.</w:t>
      </w:r>
      <w:r w:rsidRPr="00043C5D">
        <w:rPr>
          <w:lang w:val="fr-FR"/>
        </w:rPr>
        <w:t xml:space="preserve"> 2012</w:t>
      </w:r>
      <w:r w:rsidRPr="00043C5D">
        <w:rPr>
          <w:lang w:val="fr-FR"/>
        </w:rPr>
        <w:tab/>
        <w:t xml:space="preserve">Habilitation à Diriger des Recherches in Economics, Université de Paris 1- </w:t>
      </w:r>
      <w:r w:rsidRPr="00043C5D">
        <w:rPr>
          <w:lang w:val="fr-FR"/>
        </w:rPr>
        <w:tab/>
      </w:r>
      <w:r w:rsidRPr="00043C5D">
        <w:rPr>
          <w:lang w:val="fr-FR"/>
        </w:rPr>
        <w:tab/>
        <w:t xml:space="preserve">Panthéon-Sorbonne, Paris </w:t>
      </w:r>
    </w:p>
    <w:p w:rsidR="000A0218" w:rsidRPr="00043C5D" w:rsidRDefault="000A0218" w:rsidP="00C3049E">
      <w:pPr>
        <w:tabs>
          <w:tab w:val="left" w:pos="2552"/>
        </w:tabs>
        <w:ind w:firstLine="567"/>
        <w:rPr>
          <w:lang w:val="fr-FR"/>
        </w:rPr>
      </w:pPr>
    </w:p>
    <w:p w:rsidR="000A0218" w:rsidRPr="0058014D" w:rsidRDefault="000A0218" w:rsidP="00C3049E">
      <w:pPr>
        <w:tabs>
          <w:tab w:val="left" w:pos="2552"/>
        </w:tabs>
        <w:ind w:firstLine="567"/>
      </w:pPr>
      <w:r w:rsidRPr="0058014D">
        <w:t>1995-1999</w:t>
      </w:r>
      <w:r w:rsidRPr="0058014D">
        <w:tab/>
        <w:t>Ph.D. in Applied Microeconomics</w:t>
      </w:r>
      <w:r w:rsidR="0058014D">
        <w:t>,</w:t>
      </w:r>
      <w:r w:rsidRPr="0058014D">
        <w:t xml:space="preserve"> Humboldt University, Berlin </w:t>
      </w:r>
    </w:p>
    <w:p w:rsidR="000A0218" w:rsidRPr="0058014D" w:rsidRDefault="000A0218" w:rsidP="00C3049E">
      <w:pPr>
        <w:tabs>
          <w:tab w:val="left" w:pos="2552"/>
        </w:tabs>
        <w:ind w:firstLine="567"/>
      </w:pPr>
    </w:p>
    <w:p w:rsidR="000A0218" w:rsidRPr="0058014D" w:rsidRDefault="000A0218" w:rsidP="00C3049E">
      <w:pPr>
        <w:tabs>
          <w:tab w:val="left" w:pos="2552"/>
        </w:tabs>
        <w:ind w:firstLine="567"/>
      </w:pPr>
      <w:r w:rsidRPr="0058014D">
        <w:t>1994-1995</w:t>
      </w:r>
      <w:r w:rsidRPr="0058014D">
        <w:tab/>
        <w:t>Master in Finance, Institut d’Etudes Politiques (IEP) and ENSAE, Paris</w:t>
      </w:r>
    </w:p>
    <w:p w:rsidR="000A0218" w:rsidRPr="0058014D" w:rsidRDefault="000A0218" w:rsidP="00C3049E">
      <w:pPr>
        <w:tabs>
          <w:tab w:val="left" w:pos="2552"/>
        </w:tabs>
        <w:ind w:firstLine="567"/>
      </w:pPr>
    </w:p>
    <w:p w:rsidR="000A0218" w:rsidRPr="0058014D" w:rsidRDefault="00C3049E" w:rsidP="00C3049E">
      <w:pPr>
        <w:tabs>
          <w:tab w:val="left" w:pos="2552"/>
        </w:tabs>
        <w:ind w:firstLine="567"/>
      </w:pPr>
      <w:r w:rsidRPr="0058014D">
        <w:t>1988-1994</w:t>
      </w:r>
      <w:r w:rsidR="000A0218" w:rsidRPr="0058014D">
        <w:tab/>
        <w:t>Master in Mathematics, Ludwig Maximilians Universität, Munich</w:t>
      </w:r>
    </w:p>
    <w:p w:rsidR="00303EA0" w:rsidRPr="0058014D" w:rsidRDefault="00303EA0" w:rsidP="00C3049E">
      <w:pPr>
        <w:tabs>
          <w:tab w:val="left" w:pos="2552"/>
        </w:tabs>
        <w:ind w:firstLine="567"/>
      </w:pPr>
    </w:p>
    <w:p w:rsidR="00303EA0" w:rsidRPr="0058014D" w:rsidRDefault="00303EA0" w:rsidP="00303EA0">
      <w:pPr>
        <w:pStyle w:val="Heading1"/>
        <w:numPr>
          <w:ilvl w:val="0"/>
          <w:numId w:val="0"/>
        </w:numPr>
        <w:rPr>
          <w:b w:val="0"/>
          <w:szCs w:val="24"/>
        </w:rPr>
      </w:pPr>
      <w:r w:rsidRPr="0058014D">
        <w:rPr>
          <w:b w:val="0"/>
          <w:szCs w:val="24"/>
        </w:rPr>
        <w:t>Academic Responsibilities</w:t>
      </w:r>
    </w:p>
    <w:p w:rsidR="00303EA0" w:rsidRPr="0058014D" w:rsidRDefault="00303EA0" w:rsidP="00303EA0">
      <w:pPr>
        <w:ind w:left="2832"/>
      </w:pPr>
    </w:p>
    <w:p w:rsidR="00D66795" w:rsidRPr="0058014D" w:rsidRDefault="00D66795" w:rsidP="00D66795">
      <w:pPr>
        <w:tabs>
          <w:tab w:val="left" w:pos="2552"/>
        </w:tabs>
        <w:ind w:firstLine="567"/>
      </w:pPr>
      <w:r w:rsidRPr="0058014D">
        <w:t>201</w:t>
      </w:r>
      <w:r>
        <w:t>5-2018</w:t>
      </w:r>
      <w:r w:rsidRPr="0058014D">
        <w:tab/>
      </w:r>
      <w:r>
        <w:t>Department Chair,</w:t>
      </w:r>
      <w:r w:rsidRPr="0058014D">
        <w:t xml:space="preserve"> Finance</w:t>
      </w:r>
      <w:r>
        <w:t xml:space="preserve"> Department</w:t>
      </w:r>
      <w:r w:rsidRPr="0058014D">
        <w:t>, ESCP-Europe</w:t>
      </w:r>
      <w:r w:rsidRPr="0058014D">
        <w:tab/>
      </w:r>
      <w:r w:rsidRPr="0058014D">
        <w:tab/>
      </w:r>
      <w:r w:rsidRPr="0058014D">
        <w:tab/>
      </w:r>
    </w:p>
    <w:p w:rsidR="00D66795" w:rsidRDefault="00D66795" w:rsidP="00C3049E">
      <w:pPr>
        <w:tabs>
          <w:tab w:val="left" w:pos="2552"/>
        </w:tabs>
        <w:ind w:left="2547" w:hanging="1980"/>
      </w:pPr>
    </w:p>
    <w:p w:rsidR="00B35639" w:rsidRPr="0058014D" w:rsidRDefault="00B35639" w:rsidP="00B35639">
      <w:pPr>
        <w:tabs>
          <w:tab w:val="left" w:pos="2552"/>
        </w:tabs>
        <w:ind w:left="2547" w:hanging="1980"/>
      </w:pPr>
      <w:r w:rsidRPr="0058014D">
        <w:t>Since 20</w:t>
      </w:r>
      <w:r>
        <w:t>20</w:t>
      </w:r>
      <w:r w:rsidRPr="0058014D">
        <w:t xml:space="preserve"> </w:t>
      </w:r>
      <w:r w:rsidRPr="0058014D">
        <w:tab/>
        <w:t xml:space="preserve">Professor in charge of the </w:t>
      </w:r>
      <w:r>
        <w:t xml:space="preserve">Investment Banking </w:t>
      </w:r>
      <w:r w:rsidRPr="0058014D">
        <w:t>specialization</w:t>
      </w:r>
    </w:p>
    <w:p w:rsidR="00B35639" w:rsidRDefault="00B35639" w:rsidP="00C3049E">
      <w:pPr>
        <w:tabs>
          <w:tab w:val="left" w:pos="2552"/>
        </w:tabs>
        <w:ind w:left="2547" w:hanging="1980"/>
      </w:pPr>
    </w:p>
    <w:p w:rsidR="00303EA0" w:rsidRPr="0058014D" w:rsidRDefault="00303EA0" w:rsidP="00C3049E">
      <w:pPr>
        <w:tabs>
          <w:tab w:val="left" w:pos="2552"/>
        </w:tabs>
        <w:ind w:left="2547" w:hanging="1980"/>
      </w:pPr>
      <w:r w:rsidRPr="0058014D">
        <w:lastRenderedPageBreak/>
        <w:t xml:space="preserve">Since 2010 </w:t>
      </w:r>
      <w:r w:rsidRPr="0058014D">
        <w:tab/>
        <w:t xml:space="preserve">Professor in charge of the English language Finance specialization for the ESCP </w:t>
      </w:r>
      <w:r w:rsidR="00C3049E" w:rsidRPr="0058014D">
        <w:t>E</w:t>
      </w:r>
      <w:r w:rsidRPr="0058014D">
        <w:t>urope Master in Management</w:t>
      </w:r>
    </w:p>
    <w:p w:rsidR="00303EA0" w:rsidRPr="0058014D" w:rsidRDefault="00303EA0" w:rsidP="00C3049E">
      <w:pPr>
        <w:tabs>
          <w:tab w:val="left" w:pos="2552"/>
        </w:tabs>
        <w:ind w:firstLine="567"/>
      </w:pPr>
    </w:p>
    <w:p w:rsidR="00303EA0" w:rsidRPr="0058014D" w:rsidRDefault="00303EA0" w:rsidP="00C3049E">
      <w:pPr>
        <w:tabs>
          <w:tab w:val="left" w:pos="2552"/>
        </w:tabs>
        <w:ind w:left="2547" w:hanging="1980"/>
      </w:pPr>
      <w:r w:rsidRPr="0058014D">
        <w:t>2009</w:t>
      </w:r>
      <w:r w:rsidR="002B1AA9">
        <w:t xml:space="preserve"> </w:t>
      </w:r>
      <w:r w:rsidRPr="0058014D">
        <w:t>- 2012</w:t>
      </w:r>
      <w:r w:rsidRPr="0058014D">
        <w:tab/>
        <w:t xml:space="preserve">Academic Director of the “Master in Economics, Banking and Finance” </w:t>
      </w:r>
      <w:r w:rsidR="00C3049E" w:rsidRPr="0058014D">
        <w:t>(</w:t>
      </w:r>
      <w:r w:rsidRPr="0058014D">
        <w:t>MEBF), Hanoi and HCMC, Vietnam</w:t>
      </w:r>
    </w:p>
    <w:p w:rsidR="00303EA0" w:rsidRPr="0058014D" w:rsidRDefault="00303EA0" w:rsidP="00C3049E">
      <w:pPr>
        <w:tabs>
          <w:tab w:val="left" w:pos="2552"/>
        </w:tabs>
        <w:ind w:left="2547" w:hanging="1980"/>
      </w:pPr>
    </w:p>
    <w:p w:rsidR="00303EA0" w:rsidRPr="0058014D" w:rsidRDefault="00C3049E" w:rsidP="00C3049E">
      <w:pPr>
        <w:tabs>
          <w:tab w:val="left" w:pos="2552"/>
        </w:tabs>
        <w:ind w:left="2547" w:hanging="1980"/>
      </w:pPr>
      <w:r w:rsidRPr="0058014D">
        <w:t xml:space="preserve">2008 </w:t>
      </w:r>
      <w:r w:rsidR="002B1AA9">
        <w:t>-</w:t>
      </w:r>
      <w:r w:rsidRPr="0058014D">
        <w:t xml:space="preserve"> 2010</w:t>
      </w:r>
      <w:r w:rsidRPr="0058014D">
        <w:tab/>
      </w:r>
      <w:r w:rsidR="00303EA0" w:rsidRPr="0058014D">
        <w:t xml:space="preserve">Academic Director of the “Executive MBA”, French Arabian School for </w:t>
      </w:r>
      <w:r w:rsidR="00303EA0" w:rsidRPr="0058014D">
        <w:tab/>
      </w:r>
      <w:r w:rsidR="00303EA0" w:rsidRPr="0058014D">
        <w:tab/>
        <w:t>Management and Finance, Manama, Bahrein</w:t>
      </w:r>
    </w:p>
    <w:p w:rsidR="00303EA0" w:rsidRPr="0058014D" w:rsidRDefault="00303EA0" w:rsidP="00C3049E">
      <w:pPr>
        <w:tabs>
          <w:tab w:val="left" w:pos="2552"/>
        </w:tabs>
        <w:ind w:left="2547" w:hanging="1980"/>
      </w:pPr>
    </w:p>
    <w:p w:rsidR="00303EA0" w:rsidRPr="0058014D" w:rsidRDefault="00303EA0" w:rsidP="00C3049E">
      <w:pPr>
        <w:tabs>
          <w:tab w:val="left" w:pos="2552"/>
        </w:tabs>
        <w:ind w:left="2547" w:hanging="1980"/>
      </w:pPr>
      <w:r w:rsidRPr="0058014D">
        <w:t xml:space="preserve">2007 </w:t>
      </w:r>
      <w:r w:rsidR="002B1AA9">
        <w:t>-</w:t>
      </w:r>
      <w:r w:rsidRPr="0058014D">
        <w:t xml:space="preserve"> 2008</w:t>
      </w:r>
      <w:r w:rsidRPr="0058014D">
        <w:tab/>
      </w:r>
      <w:r w:rsidRPr="0058014D">
        <w:tab/>
      </w:r>
      <w:r w:rsidR="00D66795">
        <w:t>Department Chair,</w:t>
      </w:r>
      <w:r w:rsidR="00D66795" w:rsidRPr="0058014D">
        <w:t xml:space="preserve"> Finance</w:t>
      </w:r>
      <w:r w:rsidR="00D66795">
        <w:t xml:space="preserve"> Department</w:t>
      </w:r>
      <w:r w:rsidR="00D66795" w:rsidRPr="0058014D">
        <w:t>, ESCP-Europe</w:t>
      </w:r>
    </w:p>
    <w:p w:rsidR="00993A1A" w:rsidRPr="0058014D" w:rsidRDefault="00993A1A" w:rsidP="00C3049E">
      <w:pPr>
        <w:tabs>
          <w:tab w:val="left" w:pos="2552"/>
        </w:tabs>
        <w:ind w:left="2547" w:hanging="1980"/>
      </w:pPr>
    </w:p>
    <w:p w:rsidR="00303EA0" w:rsidRPr="0058014D" w:rsidRDefault="00303EA0" w:rsidP="00C3049E">
      <w:pPr>
        <w:tabs>
          <w:tab w:val="left" w:pos="2552"/>
        </w:tabs>
        <w:ind w:left="2547" w:hanging="1980"/>
      </w:pPr>
      <w:r w:rsidRPr="0058014D">
        <w:t>2004</w:t>
      </w:r>
      <w:r w:rsidR="002B1AA9">
        <w:t xml:space="preserve"> </w:t>
      </w:r>
      <w:r w:rsidRPr="0058014D">
        <w:t>-</w:t>
      </w:r>
      <w:r w:rsidR="002B1AA9">
        <w:t xml:space="preserve"> </w:t>
      </w:r>
      <w:r w:rsidRPr="0058014D">
        <w:t>2005</w:t>
      </w:r>
      <w:r w:rsidRPr="0058014D">
        <w:tab/>
      </w:r>
      <w:r w:rsidRPr="0058014D">
        <w:tab/>
        <w:t>Member of the self-evaluation committee (comité consultatif)</w:t>
      </w:r>
    </w:p>
    <w:p w:rsidR="00303EA0" w:rsidRPr="0058014D" w:rsidRDefault="00303EA0" w:rsidP="00C3049E">
      <w:pPr>
        <w:tabs>
          <w:tab w:val="left" w:pos="2552"/>
        </w:tabs>
        <w:ind w:left="2547" w:hanging="1980"/>
      </w:pPr>
    </w:p>
    <w:p w:rsidR="00993A1A" w:rsidRPr="0058014D" w:rsidRDefault="00993A1A" w:rsidP="00C3049E">
      <w:pPr>
        <w:tabs>
          <w:tab w:val="left" w:pos="2552"/>
        </w:tabs>
        <w:ind w:left="2547" w:hanging="1980"/>
      </w:pPr>
      <w:r w:rsidRPr="0058014D">
        <w:t>200</w:t>
      </w:r>
      <w:r w:rsidR="00303EA0" w:rsidRPr="0058014D">
        <w:t>2</w:t>
      </w:r>
      <w:r w:rsidR="002B1AA9">
        <w:t xml:space="preserve"> </w:t>
      </w:r>
      <w:r w:rsidRPr="0058014D">
        <w:t>-</w:t>
      </w:r>
      <w:r w:rsidR="002B1AA9">
        <w:t xml:space="preserve"> </w:t>
      </w:r>
      <w:r w:rsidRPr="0058014D">
        <w:t>20</w:t>
      </w:r>
      <w:r w:rsidR="00303EA0" w:rsidRPr="0058014D">
        <w:t>03</w:t>
      </w:r>
      <w:r w:rsidRPr="0058014D">
        <w:tab/>
      </w:r>
      <w:r w:rsidR="00303EA0" w:rsidRPr="0058014D">
        <w:tab/>
      </w:r>
      <w:r w:rsidRPr="0058014D">
        <w:t>Memb</w:t>
      </w:r>
      <w:r w:rsidR="00303EA0" w:rsidRPr="0058014D">
        <w:t>e</w:t>
      </w:r>
      <w:r w:rsidRPr="0058014D">
        <w:t xml:space="preserve">r of the research </w:t>
      </w:r>
      <w:r w:rsidR="00027607">
        <w:t>c</w:t>
      </w:r>
      <w:r w:rsidRPr="0058014D">
        <w:t>ommittee</w:t>
      </w:r>
    </w:p>
    <w:p w:rsidR="00993A1A" w:rsidRPr="0058014D" w:rsidRDefault="00993A1A" w:rsidP="00C3049E">
      <w:pPr>
        <w:tabs>
          <w:tab w:val="left" w:pos="2552"/>
        </w:tabs>
        <w:ind w:left="2547" w:hanging="1980"/>
      </w:pPr>
    </w:p>
    <w:p w:rsidR="000A0218" w:rsidRPr="0058014D" w:rsidRDefault="000A0218" w:rsidP="00C3049E">
      <w:pPr>
        <w:pStyle w:val="Heading1"/>
        <w:numPr>
          <w:ilvl w:val="0"/>
          <w:numId w:val="0"/>
        </w:numPr>
        <w:rPr>
          <w:b w:val="0"/>
          <w:szCs w:val="24"/>
        </w:rPr>
      </w:pPr>
      <w:r w:rsidRPr="0058014D">
        <w:rPr>
          <w:b w:val="0"/>
          <w:szCs w:val="24"/>
        </w:rPr>
        <w:t xml:space="preserve">Refereed Publications </w:t>
      </w:r>
    </w:p>
    <w:p w:rsidR="00B35639" w:rsidRDefault="00B35639" w:rsidP="00B35639">
      <w:pPr>
        <w:pStyle w:val="zfr3q"/>
        <w:ind w:left="567"/>
      </w:pPr>
      <w:r>
        <w:t>“</w:t>
      </w:r>
      <w:r>
        <w:t>Gains From Trade in an Asymmetric Cournot World With Trade</w:t>
      </w:r>
      <w:r>
        <w:t xml:space="preserve"> </w:t>
      </w:r>
      <w:r>
        <w:t>Costs</w:t>
      </w:r>
      <w:r>
        <w:t xml:space="preserve"> (2025) (</w:t>
      </w:r>
      <w:r>
        <w:t>with R</w:t>
      </w:r>
      <w:r>
        <w:t>.</w:t>
      </w:r>
      <w:r>
        <w:t xml:space="preserve"> Amir and J</w:t>
      </w:r>
      <w:r>
        <w:t>.</w:t>
      </w:r>
      <w:r>
        <w:t>Y Jin</w:t>
      </w:r>
      <w:r>
        <w:t xml:space="preserve">) </w:t>
      </w:r>
      <w:r w:rsidRPr="009C12DD">
        <w:rPr>
          <w:i/>
        </w:rPr>
        <w:t>Review of International Economics</w:t>
      </w:r>
      <w:r>
        <w:t>, Pre-p</w:t>
      </w:r>
      <w:r>
        <w:t>ublished Online</w:t>
      </w:r>
    </w:p>
    <w:p w:rsidR="001F7A08" w:rsidRDefault="001F7A08" w:rsidP="00870621">
      <w:pPr>
        <w:pStyle w:val="zfr3q"/>
        <w:ind w:left="567"/>
      </w:pPr>
      <w:r>
        <w:t>“</w:t>
      </w:r>
      <w:r w:rsidRPr="001F7A08">
        <w:t>Relationship-specific investments for up-and downstream firms and credit constraints.</w:t>
      </w:r>
      <w:r>
        <w:t xml:space="preserve">” </w:t>
      </w:r>
      <w:r w:rsidRPr="001F7A08">
        <w:t>(2024)</w:t>
      </w:r>
      <w:r>
        <w:t xml:space="preserve"> (with T. </w:t>
      </w:r>
      <w:r w:rsidRPr="001F7A08">
        <w:t xml:space="preserve">David, T., , Nguyen, H. M., </w:t>
      </w:r>
      <w:r>
        <w:t>and</w:t>
      </w:r>
      <w:r w:rsidRPr="001F7A08">
        <w:t xml:space="preserve"> Nguyen, H. T</w:t>
      </w:r>
      <w:r>
        <w:t>)</w:t>
      </w:r>
      <w:r w:rsidR="00794FB4">
        <w:t>,</w:t>
      </w:r>
      <w:r w:rsidRPr="001F7A08">
        <w:t xml:space="preserve"> </w:t>
      </w:r>
      <w:r w:rsidRPr="001F7A08">
        <w:rPr>
          <w:i/>
        </w:rPr>
        <w:t>Journal of Corporate Finance</w:t>
      </w:r>
      <w:r w:rsidRPr="001F7A08">
        <w:t>, 84, 102534.</w:t>
      </w:r>
    </w:p>
    <w:p w:rsidR="001F7A08" w:rsidRDefault="001F7A08" w:rsidP="00870621">
      <w:pPr>
        <w:pStyle w:val="zfr3q"/>
        <w:ind w:left="567"/>
      </w:pPr>
      <w:r w:rsidRPr="001F7A08">
        <w:t>"Making depositors greedy and careless: Government safety nets and the degradation of depositor discipline." (20</w:t>
      </w:r>
      <w:r>
        <w:t>24</w:t>
      </w:r>
      <w:r w:rsidRPr="001F7A08">
        <w:t>)</w:t>
      </w:r>
      <w:r>
        <w:t xml:space="preserve"> (with G. Phung)</w:t>
      </w:r>
      <w:r w:rsidR="00794FB4">
        <w:t>,</w:t>
      </w:r>
      <w:r w:rsidRPr="001F7A08">
        <w:t xml:space="preserve"> </w:t>
      </w:r>
      <w:r w:rsidRPr="001F7A08">
        <w:rPr>
          <w:i/>
        </w:rPr>
        <w:t>Economics of Transition and Institutional Change</w:t>
      </w:r>
      <w:r w:rsidRPr="001F7A08">
        <w:t xml:space="preserve">. </w:t>
      </w:r>
    </w:p>
    <w:p w:rsidR="001F7A08" w:rsidRPr="001F7A08" w:rsidRDefault="001F7A08" w:rsidP="00870621">
      <w:pPr>
        <w:pStyle w:val="zfr3q"/>
        <w:ind w:left="567"/>
      </w:pPr>
      <w:r>
        <w:t>“</w:t>
      </w:r>
      <w:r w:rsidRPr="001F7A08">
        <w:t>How do Large Firms Manage their Banking Pools?</w:t>
      </w:r>
      <w:r>
        <w:t>”</w:t>
      </w:r>
      <w:r w:rsidRPr="001F7A08">
        <w:t xml:space="preserve"> </w:t>
      </w:r>
      <w:r>
        <w:t>(</w:t>
      </w:r>
      <w:r w:rsidRPr="001F7A08">
        <w:t>202</w:t>
      </w:r>
      <w:r w:rsidR="00794FB4">
        <w:t>3</w:t>
      </w:r>
      <w:r w:rsidRPr="001F7A08">
        <w:t>)</w:t>
      </w:r>
      <w:r>
        <w:t xml:space="preserve"> (with </w:t>
      </w:r>
      <w:r w:rsidRPr="001F7A08">
        <w:t>David, T</w:t>
      </w:r>
      <w:r>
        <w:t>)</w:t>
      </w:r>
      <w:r w:rsidR="00794FB4">
        <w:t>,</w:t>
      </w:r>
      <w:r w:rsidRPr="001F7A08">
        <w:t xml:space="preserve"> </w:t>
      </w:r>
      <w:r w:rsidRPr="001F7A08">
        <w:rPr>
          <w:i/>
        </w:rPr>
        <w:t>Finance,</w:t>
      </w:r>
      <w:r w:rsidRPr="001F7A08">
        <w:t xml:space="preserve"> (44),</w:t>
      </w:r>
      <w:r>
        <w:rPr>
          <w:rStyle w:val="in-revue"/>
        </w:rPr>
        <w:t xml:space="preserve"> 103-153</w:t>
      </w:r>
      <w:r w:rsidRPr="001F7A08">
        <w:t>.</w:t>
      </w:r>
    </w:p>
    <w:p w:rsidR="001F7A08" w:rsidRDefault="001F7A08" w:rsidP="00870621">
      <w:pPr>
        <w:pStyle w:val="zfr3q"/>
        <w:ind w:left="567"/>
      </w:pPr>
      <w:r>
        <w:t>“</w:t>
      </w:r>
      <w:r w:rsidRPr="001F7A08">
        <w:t>Political embeddedness and the adoption of environmental management practices: The mediating effects of institutional pressures.</w:t>
      </w:r>
      <w:r>
        <w:t xml:space="preserve">” </w:t>
      </w:r>
      <w:r w:rsidRPr="001F7A08">
        <w:t>(202</w:t>
      </w:r>
      <w:r w:rsidR="00794FB4">
        <w:t>3</w:t>
      </w:r>
      <w:r w:rsidRPr="001F7A08">
        <w:t>) (with Nguyen, H. T., Vu, T. T. D. and Nguyen, H. M.</w:t>
      </w:r>
      <w:r>
        <w:t>)</w:t>
      </w:r>
      <w:r w:rsidR="00794FB4">
        <w:t xml:space="preserve">, </w:t>
      </w:r>
      <w:r w:rsidRPr="001F7A08">
        <w:rPr>
          <w:i/>
        </w:rPr>
        <w:t>Corporate Social Responsibility and Environmental Management</w:t>
      </w:r>
      <w:r w:rsidRPr="001F7A08">
        <w:t xml:space="preserve">, 29(4), 965-983. </w:t>
      </w:r>
    </w:p>
    <w:p w:rsidR="001F7A08" w:rsidRDefault="001F7A08" w:rsidP="00870621">
      <w:pPr>
        <w:pStyle w:val="zfr3q"/>
        <w:ind w:left="567"/>
      </w:pPr>
      <w:r>
        <w:t>“</w:t>
      </w:r>
      <w:r w:rsidRPr="001F7A08">
        <w:t>Difficult to digest: Takeovers of distressed banks in Vietnam.</w:t>
      </w:r>
      <w:r>
        <w:t>”</w:t>
      </w:r>
      <w:r w:rsidRPr="001F7A08">
        <w:t>, (20</w:t>
      </w:r>
      <w:r>
        <w:t>2</w:t>
      </w:r>
      <w:r w:rsidR="00794FB4">
        <w:t>2</w:t>
      </w:r>
      <w:r w:rsidRPr="001F7A08">
        <w:t>)</w:t>
      </w:r>
      <w:r>
        <w:t xml:space="preserve"> (with G. Phung)</w:t>
      </w:r>
      <w:r w:rsidRPr="00794FB4">
        <w:rPr>
          <w:i/>
        </w:rPr>
        <w:t xml:space="preserve"> </w:t>
      </w:r>
      <w:r w:rsidR="00794FB4" w:rsidRPr="00794FB4">
        <w:rPr>
          <w:i/>
        </w:rPr>
        <w:t>Economics of Transition and Institutional Change</w:t>
      </w:r>
      <w:r w:rsidR="00794FB4">
        <w:t xml:space="preserve">, </w:t>
      </w:r>
      <w:r w:rsidRPr="001F7A08">
        <w:t>30(3), 489-516.</w:t>
      </w:r>
    </w:p>
    <w:p w:rsidR="006F0A9A" w:rsidRDefault="00F652A5" w:rsidP="00870621">
      <w:pPr>
        <w:pStyle w:val="zfr3q"/>
        <w:ind w:left="567"/>
      </w:pPr>
      <w:r>
        <w:t>“</w:t>
      </w:r>
      <w:r w:rsidR="006F0A9A">
        <w:t>On the Limits of Free Trade in a Cournot World: When are Restrictions on Trade beneficial?"</w:t>
      </w:r>
      <w:r w:rsidR="00870621">
        <w:t xml:space="preserve"> </w:t>
      </w:r>
      <w:r w:rsidR="006F0A9A">
        <w:t xml:space="preserve"> </w:t>
      </w:r>
      <w:r>
        <w:t>(</w:t>
      </w:r>
      <w:r w:rsidR="006F0A9A">
        <w:t>with R</w:t>
      </w:r>
      <w:r>
        <w:t>.</w:t>
      </w:r>
      <w:r w:rsidR="006F0A9A">
        <w:t xml:space="preserve"> Amir and J</w:t>
      </w:r>
      <w:r>
        <w:t>.</w:t>
      </w:r>
      <w:r w:rsidR="006F0A9A">
        <w:t xml:space="preserve"> Y. Jin</w:t>
      </w:r>
      <w:r>
        <w:t>)</w:t>
      </w:r>
      <w:r w:rsidR="006F0A9A">
        <w:t xml:space="preserve">, </w:t>
      </w:r>
      <w:r w:rsidR="00870621">
        <w:t>(2022)</w:t>
      </w:r>
      <w:r w:rsidR="006F0A9A">
        <w:t xml:space="preserve"> </w:t>
      </w:r>
      <w:r w:rsidR="006F0A9A" w:rsidRPr="00F652A5">
        <w:rPr>
          <w:i/>
        </w:rPr>
        <w:t>Canadian Journal of Economics</w:t>
      </w:r>
      <w:r w:rsidR="00133C64">
        <w:rPr>
          <w:i/>
        </w:rPr>
        <w:t>.</w:t>
      </w:r>
      <w:r w:rsidR="00870621">
        <w:rPr>
          <w:i/>
        </w:rPr>
        <w:t xml:space="preserve"> Published online at </w:t>
      </w:r>
      <w:r w:rsidR="00870621" w:rsidRPr="00870621">
        <w:rPr>
          <w:i/>
        </w:rPr>
        <w:t>https://doi.org/10.1111/caje.12619</w:t>
      </w:r>
    </w:p>
    <w:p w:rsidR="006F0A9A" w:rsidRDefault="00F652A5" w:rsidP="00870621">
      <w:pPr>
        <w:pStyle w:val="zfr3q"/>
        <w:ind w:left="567"/>
      </w:pPr>
      <w:r>
        <w:t>“</w:t>
      </w:r>
      <w:r w:rsidR="006F0A9A" w:rsidRPr="006F0A9A">
        <w:t>Political embeddedness and the adoption of environmental management practices: The mediating effects of institutional pressures</w:t>
      </w:r>
      <w:r>
        <w:t xml:space="preserve">” (with </w:t>
      </w:r>
      <w:r w:rsidRPr="006F0A9A">
        <w:t>H. T.</w:t>
      </w:r>
      <w:r>
        <w:t xml:space="preserve"> </w:t>
      </w:r>
      <w:r w:rsidRPr="006F0A9A">
        <w:t>Nguyen, T</w:t>
      </w:r>
      <w:r>
        <w:t xml:space="preserve">. D. </w:t>
      </w:r>
      <w:r w:rsidRPr="006F0A9A">
        <w:t>Vu,</w:t>
      </w:r>
      <w:r>
        <w:t xml:space="preserve"> and H.</w:t>
      </w:r>
      <w:r w:rsidRPr="006F0A9A">
        <w:t xml:space="preserve"> Nguyen, H.</w:t>
      </w:r>
      <w:r>
        <w:t xml:space="preserve">) </w:t>
      </w:r>
      <w:r w:rsidR="00870621">
        <w:t xml:space="preserve">(2022) </w:t>
      </w:r>
      <w:r w:rsidR="006F0A9A" w:rsidRPr="00F652A5">
        <w:rPr>
          <w:i/>
        </w:rPr>
        <w:t>Corporate Social Responsibility and Environmental Management</w:t>
      </w:r>
      <w:r w:rsidR="00A306D7">
        <w:rPr>
          <w:i/>
        </w:rPr>
        <w:t xml:space="preserve">, </w:t>
      </w:r>
      <w:r w:rsidR="00870621" w:rsidRPr="00870621">
        <w:rPr>
          <w:i/>
        </w:rPr>
        <w:t>29</w:t>
      </w:r>
      <w:r w:rsidR="00870621">
        <w:rPr>
          <w:i/>
        </w:rPr>
        <w:t xml:space="preserve"> (</w:t>
      </w:r>
      <w:r w:rsidR="00870621" w:rsidRPr="00870621">
        <w:rPr>
          <w:i/>
        </w:rPr>
        <w:t>4</w:t>
      </w:r>
      <w:r w:rsidR="00870621">
        <w:rPr>
          <w:i/>
        </w:rPr>
        <w:t>)</w:t>
      </w:r>
      <w:r w:rsidR="00A306D7">
        <w:rPr>
          <w:i/>
        </w:rPr>
        <w:t>:</w:t>
      </w:r>
      <w:r w:rsidR="00870621" w:rsidRPr="00870621">
        <w:rPr>
          <w:i/>
        </w:rPr>
        <w:t xml:space="preserve"> 965-983</w:t>
      </w:r>
      <w:r w:rsidR="006F0A9A" w:rsidRPr="006F0A9A">
        <w:t>.</w:t>
      </w:r>
    </w:p>
    <w:p w:rsidR="006F0A9A" w:rsidRPr="006F0A9A" w:rsidRDefault="006F0A9A" w:rsidP="006C4F13">
      <w:pPr>
        <w:pStyle w:val="zfr3q"/>
        <w:ind w:left="567"/>
      </w:pPr>
      <w:r>
        <w:t>“</w:t>
      </w:r>
      <w:r w:rsidRPr="006F0A9A">
        <w:t>Difficult to digest: Takeovers of distressed banks in Vietnam</w:t>
      </w:r>
      <w:r>
        <w:t>”</w:t>
      </w:r>
      <w:r w:rsidR="00F652A5">
        <w:t>,</w:t>
      </w:r>
      <w:r w:rsidRPr="006F0A9A">
        <w:t xml:space="preserve"> </w:t>
      </w:r>
      <w:r>
        <w:t xml:space="preserve">(with G. </w:t>
      </w:r>
      <w:r w:rsidRPr="006F0A9A">
        <w:t>Phung</w:t>
      </w:r>
      <w:r>
        <w:t>)</w:t>
      </w:r>
      <w:r w:rsidR="00F652A5">
        <w:t xml:space="preserve"> (2021) </w:t>
      </w:r>
      <w:r w:rsidRPr="00F652A5">
        <w:rPr>
          <w:i/>
        </w:rPr>
        <w:t>Economics of Transition and Institutional Change</w:t>
      </w:r>
      <w:r w:rsidR="006C4F13">
        <w:rPr>
          <w:i/>
        </w:rPr>
        <w:t xml:space="preserve">, </w:t>
      </w:r>
      <w:r w:rsidR="006C4F13" w:rsidRPr="006C4F13">
        <w:rPr>
          <w:i/>
        </w:rPr>
        <w:t>30</w:t>
      </w:r>
      <w:r w:rsidR="006C4F13">
        <w:rPr>
          <w:i/>
        </w:rPr>
        <w:t xml:space="preserve"> (</w:t>
      </w:r>
      <w:r w:rsidR="006C4F13" w:rsidRPr="006C4F13">
        <w:rPr>
          <w:i/>
        </w:rPr>
        <w:t>3</w:t>
      </w:r>
      <w:r w:rsidR="006C4F13">
        <w:rPr>
          <w:i/>
        </w:rPr>
        <w:t>)</w:t>
      </w:r>
      <w:r w:rsidR="00A306D7">
        <w:rPr>
          <w:i/>
        </w:rPr>
        <w:t>:</w:t>
      </w:r>
      <w:r w:rsidR="006C4F13">
        <w:rPr>
          <w:i/>
        </w:rPr>
        <w:t xml:space="preserve"> </w:t>
      </w:r>
      <w:r w:rsidR="006C4F13" w:rsidRPr="006C4F13">
        <w:rPr>
          <w:i/>
        </w:rPr>
        <w:t>489-516</w:t>
      </w:r>
      <w:r w:rsidRPr="006F0A9A">
        <w:t>.</w:t>
      </w:r>
    </w:p>
    <w:p w:rsidR="006F0A9A" w:rsidRDefault="00F652A5" w:rsidP="0016466A">
      <w:pPr>
        <w:pStyle w:val="zfr3q"/>
        <w:ind w:left="567"/>
      </w:pPr>
      <w:r>
        <w:t>“</w:t>
      </w:r>
      <w:r w:rsidR="006F0A9A" w:rsidRPr="006F0A9A">
        <w:t>Advertising patterns in a dynamic oligopolistic growing market with decay</w:t>
      </w:r>
      <w:r>
        <w:t>”</w:t>
      </w:r>
      <w:r w:rsidR="006F0A9A" w:rsidRPr="006F0A9A">
        <w:t xml:space="preserve"> </w:t>
      </w:r>
      <w:r>
        <w:t xml:space="preserve">(with R. </w:t>
      </w:r>
      <w:r w:rsidRPr="00F652A5">
        <w:t>Amir</w:t>
      </w:r>
      <w:r>
        <w:t xml:space="preserve"> and D.</w:t>
      </w:r>
      <w:r w:rsidRPr="00F652A5">
        <w:t xml:space="preserve"> Machowska</w:t>
      </w:r>
      <w:r>
        <w:t>)</w:t>
      </w:r>
      <w:r w:rsidRPr="00F652A5">
        <w:t xml:space="preserve"> </w:t>
      </w:r>
      <w:r w:rsidR="00870621">
        <w:t xml:space="preserve">(2021) </w:t>
      </w:r>
      <w:r w:rsidR="006F0A9A" w:rsidRPr="00F652A5">
        <w:rPr>
          <w:i/>
        </w:rPr>
        <w:t>Journal of Economic Dynamics and Control</w:t>
      </w:r>
      <w:r w:rsidR="006F0A9A" w:rsidRPr="006F0A9A">
        <w:t>,</w:t>
      </w:r>
      <w:r w:rsidR="006C4F13">
        <w:t xml:space="preserve"> </w:t>
      </w:r>
      <w:r w:rsidR="006F0A9A" w:rsidRPr="006F0A9A">
        <w:t>131</w:t>
      </w:r>
      <w:r w:rsidR="00A306D7">
        <w:t>:</w:t>
      </w:r>
      <w:r w:rsidR="006F0A9A" w:rsidRPr="006F0A9A">
        <w:t xml:space="preserve"> 104</w:t>
      </w:r>
      <w:r w:rsidR="006C4F13">
        <w:t>-</w:t>
      </w:r>
      <w:r w:rsidR="006F0A9A" w:rsidRPr="006F0A9A">
        <w:t>229.</w:t>
      </w:r>
    </w:p>
    <w:p w:rsidR="0016466A" w:rsidRDefault="0016466A" w:rsidP="0016466A">
      <w:pPr>
        <w:pStyle w:val="zfr3q"/>
        <w:ind w:left="567"/>
        <w:rPr>
          <w:rStyle w:val="Emphasis"/>
          <w:i w:val="0"/>
        </w:rPr>
      </w:pPr>
      <w:r w:rsidRPr="0016466A">
        <w:t xml:space="preserve"> </w:t>
      </w:r>
      <w:r>
        <w:t xml:space="preserve">“Debt aversion, education and credit self-rationing in SMEs", (with </w:t>
      </w:r>
      <w:r w:rsidRPr="00F04353">
        <w:t xml:space="preserve">H. T. Nguyen, H.M. Nguyen and A. T.H. Nguyen) (2020) </w:t>
      </w:r>
      <w:r w:rsidRPr="00B74C98">
        <w:rPr>
          <w:i/>
        </w:rPr>
        <w:t>Small Business Economics</w:t>
      </w:r>
      <w:r>
        <w:t xml:space="preserve">, </w:t>
      </w:r>
      <w:r w:rsidR="00A306D7" w:rsidRPr="00A306D7">
        <w:rPr>
          <w:bCs/>
        </w:rPr>
        <w:t>57</w:t>
      </w:r>
      <w:r w:rsidR="00A306D7">
        <w:t>:</w:t>
      </w:r>
      <w:r w:rsidR="00A306D7">
        <w:rPr>
          <w:rStyle w:val="u-visually-hidden"/>
        </w:rPr>
        <w:t xml:space="preserve"> </w:t>
      </w:r>
      <w:r w:rsidR="00A306D7">
        <w:t>1125–1143</w:t>
      </w:r>
      <w:r>
        <w:t>.</w:t>
      </w:r>
    </w:p>
    <w:p w:rsidR="00861146" w:rsidRDefault="00861146" w:rsidP="00861146">
      <w:pPr>
        <w:pStyle w:val="zfr3q"/>
        <w:ind w:left="567"/>
      </w:pPr>
      <w:r>
        <w:lastRenderedPageBreak/>
        <w:t xml:space="preserve">"Cheap Talk and Strategic Rounding in Libor Submissions”, (with A. Hernando-Veciana), (2019), </w:t>
      </w:r>
      <w:r w:rsidRPr="00B74C98">
        <w:rPr>
          <w:rStyle w:val="Emphasis"/>
        </w:rPr>
        <w:t>Review of Financial Studies</w:t>
      </w:r>
      <w:r>
        <w:rPr>
          <w:rStyle w:val="Emphasis"/>
          <w:i w:val="0"/>
        </w:rPr>
        <w:t xml:space="preserve">, </w:t>
      </w:r>
      <w:r>
        <w:rPr>
          <w:i/>
          <w:iCs/>
        </w:rPr>
        <w:t>33</w:t>
      </w:r>
      <w:r>
        <w:t>(6)</w:t>
      </w:r>
      <w:r w:rsidR="00A306D7">
        <w:t>:</w:t>
      </w:r>
      <w:r>
        <w:t xml:space="preserve"> 2585-2621.</w:t>
      </w:r>
    </w:p>
    <w:p w:rsidR="007A1968" w:rsidRDefault="007A1968" w:rsidP="00A306D7">
      <w:pPr>
        <w:ind w:left="567"/>
      </w:pPr>
      <w:r>
        <w:t>“</w:t>
      </w:r>
      <w:r w:rsidRPr="007A1968">
        <w:t>Containing Systemic Risk by Taxing Banks</w:t>
      </w:r>
      <w:r>
        <w:t xml:space="preserve"> </w:t>
      </w:r>
      <w:r w:rsidRPr="007A1968">
        <w:t>Properly</w:t>
      </w:r>
      <w:r>
        <w:t>”</w:t>
      </w:r>
      <w:r w:rsidRPr="007A1968">
        <w:t>, (with M. Roe), (2018)</w:t>
      </w:r>
      <w:r w:rsidR="00B74C98">
        <w:t>,</w:t>
      </w:r>
      <w:r w:rsidRPr="007A1968">
        <w:t xml:space="preserve"> </w:t>
      </w:r>
      <w:r w:rsidRPr="00B74C98">
        <w:rPr>
          <w:i/>
        </w:rPr>
        <w:t>Yale Journal on Regulation</w:t>
      </w:r>
      <w:r w:rsidR="00B74C98">
        <w:t>,</w:t>
      </w:r>
      <w:r w:rsidRPr="007A1968">
        <w:t xml:space="preserve"> 35</w:t>
      </w:r>
      <w:r w:rsidR="00A306D7">
        <w:t>:</w:t>
      </w:r>
      <w:r w:rsidRPr="007A1968">
        <w:t>181-231.</w:t>
      </w:r>
    </w:p>
    <w:p w:rsidR="007A1968" w:rsidRPr="0058014D" w:rsidRDefault="007A1968" w:rsidP="000C11F8">
      <w:pPr>
        <w:ind w:left="567"/>
      </w:pPr>
    </w:p>
    <w:p w:rsidR="007A1968" w:rsidRDefault="007A1968" w:rsidP="007A1968">
      <w:pPr>
        <w:ind w:left="567"/>
      </w:pPr>
      <w:r>
        <w:t>“</w:t>
      </w:r>
      <w:r w:rsidRPr="007A1968">
        <w:t>Can Foreigners Improve the Profitability of Emerging</w:t>
      </w:r>
      <w:r>
        <w:t xml:space="preserve"> </w:t>
      </w:r>
      <w:r w:rsidRPr="007A1968">
        <w:t>Market Banks? Evidence from the Vietnamese Strategic</w:t>
      </w:r>
      <w:r>
        <w:t xml:space="preserve"> </w:t>
      </w:r>
      <w:r w:rsidRPr="007A1968">
        <w:t>Partner Program</w:t>
      </w:r>
      <w:r>
        <w:t xml:space="preserve">” (with </w:t>
      </w:r>
      <w:r w:rsidRPr="007A1968">
        <w:t>G</w:t>
      </w:r>
      <w:r w:rsidR="00F04353">
        <w:t>.</w:t>
      </w:r>
      <w:r w:rsidRPr="007A1968">
        <w:t xml:space="preserve"> Phung</w:t>
      </w:r>
      <w:r>
        <w:t>) (2018)</w:t>
      </w:r>
      <w:r w:rsidR="00B74C98">
        <w:t>,</w:t>
      </w:r>
      <w:r>
        <w:t xml:space="preserve"> </w:t>
      </w:r>
      <w:r w:rsidRPr="00B74C98">
        <w:rPr>
          <w:i/>
        </w:rPr>
        <w:t>Emerging Markets Finance &amp; Trade</w:t>
      </w:r>
      <w:r w:rsidR="00A306D7">
        <w:t>:</w:t>
      </w:r>
      <w:r w:rsidRPr="007A1968">
        <w:t xml:space="preserve"> 1–</w:t>
      </w:r>
      <w:r>
        <w:t>14</w:t>
      </w:r>
    </w:p>
    <w:p w:rsidR="007A1968" w:rsidRDefault="007A1968" w:rsidP="00757F62">
      <w:pPr>
        <w:ind w:left="567"/>
      </w:pPr>
    </w:p>
    <w:p w:rsidR="00757F62" w:rsidRPr="00757F62" w:rsidRDefault="00757F62" w:rsidP="00757F62">
      <w:pPr>
        <w:ind w:left="567"/>
      </w:pPr>
      <w:r w:rsidRPr="00757F62">
        <w:t>“</w:t>
      </w:r>
      <w:r>
        <w:t>Free trade versus autarky under asymmetric Cournot oligopoly”.  (with R. Amir R, and J. Jin), (2016)</w:t>
      </w:r>
      <w:r w:rsidR="00B74C98">
        <w:t>,</w:t>
      </w:r>
      <w:r>
        <w:t xml:space="preserve"> </w:t>
      </w:r>
      <w:r w:rsidRPr="00B74C98">
        <w:rPr>
          <w:i/>
        </w:rPr>
        <w:t>Review of International Economics</w:t>
      </w:r>
      <w:r w:rsidR="00B74C98">
        <w:t>,</w:t>
      </w:r>
      <w:r>
        <w:t xml:space="preserve"> </w:t>
      </w:r>
      <w:r w:rsidRPr="00757F62">
        <w:t>25(1)</w:t>
      </w:r>
      <w:r>
        <w:t xml:space="preserve">: </w:t>
      </w:r>
      <w:r w:rsidRPr="00757F62">
        <w:t>1467-9396</w:t>
      </w:r>
      <w:r>
        <w:t>.</w:t>
      </w:r>
    </w:p>
    <w:p w:rsidR="00757F62" w:rsidRDefault="00757F62" w:rsidP="00757F62">
      <w:pPr>
        <w:ind w:left="567"/>
      </w:pPr>
    </w:p>
    <w:p w:rsidR="000C11F8" w:rsidRPr="0058014D" w:rsidRDefault="000C11F8" w:rsidP="000C11F8">
      <w:pPr>
        <w:ind w:left="567"/>
      </w:pPr>
      <w:r w:rsidRPr="0058014D">
        <w:t>“Prices and Deadweight Loss in Multi-Product Monopoly” (with R. Amir, J. Jin and G. Pech) (201</w:t>
      </w:r>
      <w:r w:rsidR="00D56942" w:rsidRPr="0058014D">
        <w:t>6</w:t>
      </w:r>
      <w:r w:rsidRPr="0058014D">
        <w:t>)</w:t>
      </w:r>
      <w:r w:rsidR="00213A3D" w:rsidRPr="0058014D">
        <w:t xml:space="preserve">, </w:t>
      </w:r>
      <w:r w:rsidRPr="00B74C98">
        <w:rPr>
          <w:i/>
        </w:rPr>
        <w:t xml:space="preserve"> Journal of Public Economic Theory</w:t>
      </w:r>
      <w:r w:rsidR="00D56942" w:rsidRPr="0058014D">
        <w:t>, 18, (3): 21–16</w:t>
      </w:r>
      <w:r w:rsidR="00213A3D" w:rsidRPr="0058014D">
        <w:t>.</w:t>
      </w:r>
    </w:p>
    <w:p w:rsidR="000C11F8" w:rsidRPr="0058014D" w:rsidRDefault="000C11F8" w:rsidP="000A0218">
      <w:pPr>
        <w:ind w:left="567"/>
      </w:pPr>
    </w:p>
    <w:p w:rsidR="005C73E5" w:rsidRPr="0058014D" w:rsidRDefault="005C73E5" w:rsidP="005C73E5">
      <w:pPr>
        <w:ind w:left="567"/>
      </w:pPr>
      <w:r w:rsidRPr="0058014D">
        <w:t>“From Basel to bailouts: forty years of international attempts to bolster bank safety” (with C. Kobrak), (2015)</w:t>
      </w:r>
      <w:r w:rsidR="00B74C98">
        <w:t>,</w:t>
      </w:r>
      <w:r w:rsidRPr="0058014D">
        <w:t xml:space="preserve"> </w:t>
      </w:r>
      <w:hyperlink r:id="rId10" w:tooltip="Financial History Review" w:history="1">
        <w:r w:rsidRPr="00B74C98">
          <w:rPr>
            <w:i/>
          </w:rPr>
          <w:t>Financial History Review</w:t>
        </w:r>
      </w:hyperlink>
      <w:r w:rsidRPr="00B74C98">
        <w:rPr>
          <w:i/>
        </w:rPr>
        <w:t>,</w:t>
      </w:r>
      <w:r w:rsidRPr="0058014D">
        <w:t xml:space="preserve"> Volume, 22 (02):133-156</w:t>
      </w:r>
    </w:p>
    <w:p w:rsidR="005C73E5" w:rsidRPr="0058014D" w:rsidRDefault="005C73E5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“The Insider’s Curse” (with A. Hernando-Veciana), (2011),</w:t>
      </w:r>
      <w:r w:rsidRPr="00B74C98">
        <w:rPr>
          <w:i/>
        </w:rPr>
        <w:t xml:space="preserve"> Games and Economic Behavior,</w:t>
      </w:r>
      <w:r w:rsidRPr="0058014D">
        <w:t xml:space="preserve"> 71, (2)</w:t>
      </w:r>
      <w:r w:rsidR="002D2015" w:rsidRPr="0058014D">
        <w:t xml:space="preserve"> :</w:t>
      </w:r>
      <w:r w:rsidRPr="0058014D">
        <w:t xml:space="preserve"> 339-350. 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 xml:space="preserve">“On the Effects of Banks’ Equity Ownership on Credit Markets”, (with R. Amir), (2011), </w:t>
      </w:r>
      <w:r w:rsidRPr="00B74C98">
        <w:rPr>
          <w:i/>
        </w:rPr>
        <w:t>Annals of Finance,</w:t>
      </w:r>
      <w:r w:rsidRPr="0058014D">
        <w:t xml:space="preserve"> 7</w:t>
      </w:r>
      <w:r w:rsidR="00B74C98">
        <w:t xml:space="preserve"> </w:t>
      </w:r>
      <w:r w:rsidRPr="0058014D">
        <w:t>(1)</w:t>
      </w:r>
      <w:r w:rsidR="002D2015" w:rsidRPr="0058014D">
        <w:t xml:space="preserve"> :</w:t>
      </w:r>
      <w:r w:rsidRPr="0058014D">
        <w:t xml:space="preserve"> 31-52,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 xml:space="preserve">“Robust results on the sharing of firm-specific information: Incentives and welfare effects” (with R. Amir and J. Jin), (2010), </w:t>
      </w:r>
      <w:r w:rsidRPr="00B74C98">
        <w:rPr>
          <w:i/>
        </w:rPr>
        <w:t>Journal of Mathematical Economics,</w:t>
      </w:r>
      <w:r w:rsidRPr="0058014D">
        <w:t xml:space="preserve"> 46 (5)</w:t>
      </w:r>
      <w:r w:rsidR="008E3053" w:rsidRPr="0058014D">
        <w:t>:</w:t>
      </w:r>
      <w:r w:rsidRPr="0058014D">
        <w:t xml:space="preserve"> 855-866 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 xml:space="preserve">“Demand Expansion and Elasticity Improvement as Complementary Marketing Goals”, (with C. Halmenschlager et A. Mantovani), (2010), </w:t>
      </w:r>
      <w:r w:rsidRPr="00B74C98">
        <w:rPr>
          <w:i/>
        </w:rPr>
        <w:t>Manchester School,</w:t>
      </w:r>
      <w:r w:rsidRPr="0058014D">
        <w:t xml:space="preserve"> 79 (1): 145-158 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 xml:space="preserve">“On Additive Spillovers and Returns to Scale in R&amp;D”, (with R. Amir and  J. Jin), (2008) </w:t>
      </w:r>
      <w:r w:rsidRPr="00B74C98">
        <w:rPr>
          <w:i/>
        </w:rPr>
        <w:t>International Journal of Industrial Organization,</w:t>
      </w:r>
      <w:r w:rsidRPr="0058014D">
        <w:t xml:space="preserve"> 26</w:t>
      </w:r>
      <w:r w:rsidR="00A306D7">
        <w:t xml:space="preserve"> (</w:t>
      </w:r>
      <w:r w:rsidRPr="0058014D">
        <w:t>3): 695-703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8E3053">
      <w:pPr>
        <w:ind w:left="567"/>
      </w:pPr>
      <w:r w:rsidRPr="0058014D">
        <w:t xml:space="preserve">“Applying the Market Economy Investor Principle to State Owned Companies - Lessons Learned from the German Landesbanken Cases”, </w:t>
      </w:r>
      <w:r w:rsidR="008E3053" w:rsidRPr="0058014D">
        <w:t xml:space="preserve">(with H. Friederiszick), </w:t>
      </w:r>
      <w:r w:rsidRPr="0058014D">
        <w:t xml:space="preserve">(2006), </w:t>
      </w:r>
      <w:r w:rsidRPr="00B74C98">
        <w:rPr>
          <w:i/>
        </w:rPr>
        <w:t>EC Competition Policy Newsletter,</w:t>
      </w:r>
      <w:r w:rsidRPr="0058014D">
        <w:t xml:space="preserve"> No. 1 </w:t>
      </w:r>
      <w:r w:rsidR="002D2015" w:rsidRPr="0058014D">
        <w:t>: 105-109</w:t>
      </w:r>
    </w:p>
    <w:p w:rsidR="008E3053" w:rsidRPr="0058014D" w:rsidRDefault="008E3053" w:rsidP="008E3053">
      <w:pPr>
        <w:ind w:left="567"/>
      </w:pPr>
    </w:p>
    <w:p w:rsidR="000A0218" w:rsidRPr="0058014D" w:rsidRDefault="000A0218" w:rsidP="000A0218">
      <w:pPr>
        <w:ind w:left="567"/>
      </w:pPr>
      <w:r w:rsidRPr="0058014D">
        <w:t>“R&amp;D Competition and Endogenous Spillovers” (with J. Jin), (2006),</w:t>
      </w:r>
      <w:r w:rsidRPr="00B74C98">
        <w:rPr>
          <w:i/>
        </w:rPr>
        <w:t xml:space="preserve"> Manchester School,</w:t>
      </w:r>
      <w:r w:rsidRPr="0058014D">
        <w:t xml:space="preserve"> 74 (1)</w:t>
      </w:r>
      <w:r w:rsidR="002D2015" w:rsidRPr="0058014D">
        <w:t>:</w:t>
      </w:r>
      <w:r w:rsidR="000D7C4A" w:rsidRPr="0058014D">
        <w:t xml:space="preserve"> </w:t>
      </w:r>
      <w:r w:rsidR="002D2015" w:rsidRPr="0058014D">
        <w:t>40-51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“Do Bank-Firm Relationships reduce Bank Debt? Evidence from Japan” (with T. Miarka),</w:t>
      </w:r>
      <w:r w:rsidRPr="0058014D">
        <w:br/>
        <w:t xml:space="preserve">(2005),  </w:t>
      </w:r>
      <w:r w:rsidRPr="00B74C98">
        <w:rPr>
          <w:i/>
        </w:rPr>
        <w:t>European Journal of Finance,</w:t>
      </w:r>
      <w:r w:rsidRPr="0058014D">
        <w:t xml:space="preserve"> 11:75-92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“On Taxation Pass-Through for a Monopoly Firm” (with R. Amir and I. Maret), (2005),</w:t>
      </w:r>
      <w:r w:rsidRPr="0058014D">
        <w:br/>
      </w:r>
      <w:r w:rsidRPr="00B74C98">
        <w:rPr>
          <w:i/>
        </w:rPr>
        <w:t>Annales d’Economie et de Statistique,</w:t>
      </w:r>
      <w:r w:rsidRPr="0058014D">
        <w:t xml:space="preserve"> 75/76 : 155-172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 xml:space="preserve">“Learning by doing , Spillovers and Shakeouts” (with J.Jin and J.Perote-Pena ), (2004), </w:t>
      </w:r>
      <w:r w:rsidRPr="00B74C98">
        <w:rPr>
          <w:i/>
        </w:rPr>
        <w:t>Journal of Evolutionary Economics,</w:t>
      </w:r>
      <w:r w:rsidRPr="0058014D">
        <w:t xml:space="preserve"> 14:</w:t>
      </w:r>
      <w:r w:rsidR="008E3053" w:rsidRPr="0058014D">
        <w:t xml:space="preserve"> </w:t>
      </w:r>
      <w:r w:rsidRPr="0058014D">
        <w:t>85-98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“Organizing Product Stewardship in Large Chemical Companies” (with M. Fleischer), (2004)</w:t>
      </w:r>
      <w:r w:rsidRPr="0058014D">
        <w:br/>
      </w:r>
      <w:r w:rsidRPr="00B74C98">
        <w:rPr>
          <w:i/>
        </w:rPr>
        <w:t>Journal of Business Chemistry</w:t>
      </w:r>
      <w:r w:rsidRPr="0058014D">
        <w:t>, (2): 26-36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 xml:space="preserve">“Timing of public information and cost </w:t>
      </w:r>
      <w:r w:rsidR="00A306D7" w:rsidRPr="0058014D">
        <w:t>reduction</w:t>
      </w:r>
      <w:r w:rsidR="00A306D7">
        <w:t>”</w:t>
      </w:r>
      <w:r w:rsidRPr="0058014D">
        <w:t>, (with J. Jin), (2002)</w:t>
      </w:r>
      <w:r w:rsidR="008E3053" w:rsidRPr="0058014D">
        <w:t xml:space="preserve">, </w:t>
      </w:r>
      <w:r w:rsidRPr="00B74C98">
        <w:rPr>
          <w:i/>
        </w:rPr>
        <w:t>Journal of Economics,</w:t>
      </w:r>
      <w:r w:rsidRPr="0058014D">
        <w:t xml:space="preserve"> 75 (3): 227-237.</w:t>
      </w:r>
    </w:p>
    <w:p w:rsidR="000A0218" w:rsidRPr="0058014D" w:rsidRDefault="000A0218" w:rsidP="000A0218">
      <w:pPr>
        <w:pStyle w:val="Heading1"/>
        <w:numPr>
          <w:ilvl w:val="0"/>
          <w:numId w:val="0"/>
        </w:numPr>
        <w:rPr>
          <w:b w:val="0"/>
          <w:szCs w:val="24"/>
        </w:rPr>
      </w:pPr>
    </w:p>
    <w:p w:rsidR="000A0218" w:rsidRPr="0071484D" w:rsidRDefault="000A0218" w:rsidP="000A0218">
      <w:pPr>
        <w:pStyle w:val="Heading1"/>
        <w:numPr>
          <w:ilvl w:val="0"/>
          <w:numId w:val="0"/>
        </w:numPr>
        <w:rPr>
          <w:b w:val="0"/>
          <w:szCs w:val="24"/>
          <w:lang w:val="en-GB"/>
        </w:rPr>
      </w:pPr>
      <w:r w:rsidRPr="0071484D">
        <w:rPr>
          <w:b w:val="0"/>
          <w:szCs w:val="24"/>
          <w:lang w:val="en-GB"/>
        </w:rPr>
        <w:t>Other</w:t>
      </w:r>
      <w:r w:rsidR="00F00540" w:rsidRPr="0071484D">
        <w:rPr>
          <w:b w:val="0"/>
          <w:szCs w:val="24"/>
          <w:lang w:val="en-GB"/>
        </w:rPr>
        <w:t xml:space="preserve"> Selected</w:t>
      </w:r>
      <w:r w:rsidRPr="0071484D">
        <w:rPr>
          <w:b w:val="0"/>
          <w:szCs w:val="24"/>
          <w:lang w:val="en-GB"/>
        </w:rPr>
        <w:t xml:space="preserve"> </w:t>
      </w:r>
      <w:r w:rsidR="00F00540" w:rsidRPr="0071484D">
        <w:rPr>
          <w:b w:val="0"/>
          <w:szCs w:val="24"/>
          <w:lang w:val="en-GB"/>
        </w:rPr>
        <w:t>Publications</w:t>
      </w:r>
      <w:r w:rsidR="00305EB2">
        <w:rPr>
          <w:b w:val="0"/>
          <w:szCs w:val="24"/>
          <w:lang w:val="en-GB"/>
        </w:rPr>
        <w:t xml:space="preserve"> and Media Appearances</w:t>
      </w:r>
    </w:p>
    <w:p w:rsidR="00305EB2" w:rsidRDefault="00305EB2" w:rsidP="00A306D7">
      <w:pPr>
        <w:ind w:left="567"/>
        <w:rPr>
          <w:lang w:val="en-GB"/>
        </w:rPr>
      </w:pPr>
    </w:p>
    <w:p w:rsidR="00305EB2" w:rsidRDefault="00305EB2" w:rsidP="00305EB2">
      <w:pPr>
        <w:ind w:left="567"/>
      </w:pPr>
      <w:r>
        <w:rPr>
          <w:lang w:val="en-GB"/>
        </w:rPr>
        <w:t xml:space="preserve">“Comment négocier des tariffs douanieres avec Trump”, </w:t>
      </w:r>
      <w:r w:rsidRPr="00305EB2">
        <w:rPr>
          <w:b/>
          <w:lang w:val="en-GB"/>
        </w:rPr>
        <w:t>France TV info</w:t>
      </w:r>
      <w:r>
        <w:rPr>
          <w:lang w:val="en-GB"/>
        </w:rPr>
        <w:t xml:space="preserve">, “ </w:t>
      </w:r>
      <w:r w:rsidRPr="00305EB2">
        <w:rPr>
          <w:lang w:val="en-GB"/>
        </w:rPr>
        <w:t xml:space="preserve">26 </w:t>
      </w:r>
      <w:r>
        <w:rPr>
          <w:lang w:val="en-GB"/>
        </w:rPr>
        <w:t>M</w:t>
      </w:r>
      <w:r w:rsidRPr="00305EB2">
        <w:rPr>
          <w:lang w:val="en-GB"/>
        </w:rPr>
        <w:t>a</w:t>
      </w:r>
      <w:r>
        <w:rPr>
          <w:lang w:val="en-GB"/>
        </w:rPr>
        <w:t>y</w:t>
      </w:r>
      <w:r w:rsidRPr="00305EB2">
        <w:rPr>
          <w:lang w:val="en-GB"/>
        </w:rPr>
        <w:t xml:space="preserve"> 2025</w:t>
      </w:r>
    </w:p>
    <w:p w:rsidR="00305EB2" w:rsidRDefault="00305EB2" w:rsidP="00305EB2">
      <w:pPr>
        <w:ind w:left="567"/>
      </w:pPr>
    </w:p>
    <w:p w:rsidR="00305EB2" w:rsidRDefault="00305EB2" w:rsidP="00305EB2">
      <w:pPr>
        <w:ind w:left="567"/>
        <w:rPr>
          <w:lang w:val="en-GB"/>
        </w:rPr>
      </w:pPr>
      <w:r>
        <w:t xml:space="preserve">“Droits de Douane:  Appauvris ton voisin”, </w:t>
      </w:r>
      <w:r w:rsidRPr="00305EB2">
        <w:rPr>
          <w:b/>
        </w:rPr>
        <w:t>Le Monde</w:t>
      </w:r>
      <w:r>
        <w:t xml:space="preserve">, </w:t>
      </w:r>
      <w:r>
        <w:rPr>
          <w:rStyle w:val="metadate"/>
        </w:rPr>
        <w:t>23 April 2025</w:t>
      </w:r>
      <w:r>
        <w:t> </w:t>
      </w:r>
    </w:p>
    <w:p w:rsidR="00305EB2" w:rsidRDefault="00305EB2" w:rsidP="00305EB2">
      <w:pPr>
        <w:ind w:left="567"/>
      </w:pPr>
    </w:p>
    <w:p w:rsidR="00305EB2" w:rsidRDefault="00305EB2" w:rsidP="00305EB2">
      <w:pPr>
        <w:ind w:left="567"/>
        <w:rPr>
          <w:lang w:val="en-GB"/>
        </w:rPr>
      </w:pPr>
      <w:r>
        <w:t xml:space="preserve">“Est-ce que des </w:t>
      </w:r>
      <w:r>
        <w:rPr>
          <w:lang w:val="en-GB"/>
        </w:rPr>
        <w:t>des tariffs douanieres</w:t>
      </w:r>
      <w:r>
        <w:rPr>
          <w:lang w:val="en-GB"/>
        </w:rPr>
        <w:t xml:space="preserve"> peuvent bénéficier un pays?” </w:t>
      </w:r>
      <w:r w:rsidRPr="00305EB2">
        <w:rPr>
          <w:b/>
          <w:lang w:val="en-GB"/>
        </w:rPr>
        <w:t>F</w:t>
      </w:r>
      <w:r w:rsidRPr="00305EB2">
        <w:rPr>
          <w:b/>
          <w:lang w:val="en-GB"/>
        </w:rPr>
        <w:t>rance TV info</w:t>
      </w:r>
      <w:r>
        <w:rPr>
          <w:lang w:val="en-GB"/>
        </w:rPr>
        <w:t xml:space="preserve">, </w:t>
      </w:r>
      <w:r w:rsidRPr="00305EB2">
        <w:rPr>
          <w:lang w:val="en-GB"/>
        </w:rPr>
        <w:t>10</w:t>
      </w:r>
      <w:r>
        <w:rPr>
          <w:lang w:val="en-GB"/>
        </w:rPr>
        <w:t xml:space="preserve"> April </w:t>
      </w:r>
      <w:r w:rsidRPr="00305EB2">
        <w:rPr>
          <w:lang w:val="en-GB"/>
        </w:rPr>
        <w:t>2025</w:t>
      </w:r>
    </w:p>
    <w:p w:rsidR="00305EB2" w:rsidRDefault="00305EB2" w:rsidP="00A306D7">
      <w:pPr>
        <w:ind w:left="567"/>
        <w:rPr>
          <w:lang w:val="en-GB"/>
        </w:rPr>
      </w:pPr>
    </w:p>
    <w:p w:rsidR="00A306D7" w:rsidRDefault="00A306D7" w:rsidP="00A306D7">
      <w:pPr>
        <w:ind w:left="567"/>
        <w:rPr>
          <w:lang w:val="en-GB"/>
        </w:rPr>
      </w:pPr>
      <w:r>
        <w:rPr>
          <w:lang w:val="en-GB"/>
        </w:rPr>
        <w:t>“</w:t>
      </w:r>
      <w:r w:rsidRPr="00A306D7">
        <w:rPr>
          <w:lang w:val="en-GB"/>
        </w:rPr>
        <w:t>The Liberal party’s bank tax: Canada should tax bank debt, not bank equity</w:t>
      </w:r>
      <w:r>
        <w:rPr>
          <w:lang w:val="en-GB"/>
        </w:rPr>
        <w:t>”, (with</w:t>
      </w:r>
      <w:r w:rsidRPr="00A306D7">
        <w:rPr>
          <w:lang w:val="en-GB"/>
        </w:rPr>
        <w:t xml:space="preserve"> Mark Roe</w:t>
      </w:r>
      <w:r>
        <w:rPr>
          <w:lang w:val="en-GB"/>
        </w:rPr>
        <w:t xml:space="preserve">), </w:t>
      </w:r>
      <w:r w:rsidRPr="00A306D7">
        <w:rPr>
          <w:lang w:val="en-GB"/>
        </w:rPr>
        <w:t>Sept. 23, 2021</w:t>
      </w:r>
      <w:r>
        <w:rPr>
          <w:lang w:val="en-GB"/>
        </w:rPr>
        <w:t xml:space="preserve">, </w:t>
      </w:r>
      <w:r w:rsidRPr="00A306D7">
        <w:rPr>
          <w:b/>
          <w:lang w:val="en-GB"/>
        </w:rPr>
        <w:t>Toronto Star</w:t>
      </w:r>
    </w:p>
    <w:p w:rsidR="00A306D7" w:rsidRDefault="00A306D7" w:rsidP="001E6389">
      <w:pPr>
        <w:ind w:left="567"/>
        <w:rPr>
          <w:lang w:val="en-GB"/>
        </w:rPr>
      </w:pPr>
    </w:p>
    <w:p w:rsidR="001E6389" w:rsidRPr="001E6389" w:rsidRDefault="001E6389" w:rsidP="001E6389">
      <w:pPr>
        <w:ind w:left="567"/>
        <w:rPr>
          <w:lang w:val="en-GB"/>
        </w:rPr>
      </w:pPr>
      <w:r w:rsidRPr="001E6389">
        <w:rPr>
          <w:lang w:val="en-GB"/>
        </w:rPr>
        <w:t xml:space="preserve">"Libor and Euribor replacements are also vulnerable",  4 August 2020, </w:t>
      </w:r>
      <w:r w:rsidRPr="001E6389">
        <w:rPr>
          <w:b/>
          <w:lang w:val="en-GB"/>
        </w:rPr>
        <w:t>Financial Times</w:t>
      </w:r>
    </w:p>
    <w:p w:rsidR="001E6389" w:rsidRDefault="001E6389" w:rsidP="001E6389">
      <w:pPr>
        <w:ind w:left="567"/>
        <w:rPr>
          <w:lang w:val="en-GB"/>
        </w:rPr>
      </w:pPr>
    </w:p>
    <w:p w:rsidR="001E6389" w:rsidRPr="001E6389" w:rsidRDefault="001E6389" w:rsidP="001E6389">
      <w:pPr>
        <w:ind w:left="567"/>
        <w:rPr>
          <w:lang w:val="en-GB"/>
        </w:rPr>
      </w:pPr>
      <w:r w:rsidRPr="001E6389">
        <w:rPr>
          <w:lang w:val="en-GB"/>
        </w:rPr>
        <w:t xml:space="preserve">"How Companies Could Benefit from Ending the Pro-Debt Bias in Taxes",  8 July 2020, </w:t>
      </w:r>
      <w:r w:rsidRPr="001E6389">
        <w:rPr>
          <w:b/>
          <w:lang w:val="en-GB"/>
        </w:rPr>
        <w:t>Bloomberg News</w:t>
      </w:r>
    </w:p>
    <w:p w:rsidR="001E6389" w:rsidRPr="001E6389" w:rsidRDefault="001E6389" w:rsidP="005D1F13">
      <w:pPr>
        <w:ind w:left="567"/>
        <w:rPr>
          <w:lang w:val="en-GB"/>
        </w:rPr>
      </w:pPr>
    </w:p>
    <w:p w:rsidR="00430D81" w:rsidRPr="00861146" w:rsidRDefault="00430D81" w:rsidP="00430D81">
      <w:pPr>
        <w:ind w:left="567"/>
        <w:rPr>
          <w:lang w:val="fr-FR"/>
        </w:rPr>
      </w:pPr>
      <w:r w:rsidRPr="005D1F13">
        <w:rPr>
          <w:lang w:val="fr-FR"/>
        </w:rPr>
        <w:t>“</w:t>
      </w:r>
      <w:r w:rsidR="005D1F13" w:rsidRPr="005D1F13">
        <w:rPr>
          <w:lang w:val="fr-FR"/>
        </w:rPr>
        <w:t>Les entrepreneurs eux-mêmes limitent volontairement le recours aux emprunts</w:t>
      </w:r>
      <w:r w:rsidR="005D1F13">
        <w:rPr>
          <w:lang w:val="fr-FR"/>
        </w:rPr>
        <w:t>,</w:t>
      </w:r>
      <w:r w:rsidR="005D1F13" w:rsidRPr="005D1F13">
        <w:rPr>
          <w:lang w:val="fr-FR"/>
        </w:rPr>
        <w:t>”</w:t>
      </w:r>
      <w:r w:rsidR="0071484D">
        <w:rPr>
          <w:lang w:val="fr-FR"/>
        </w:rPr>
        <w:t xml:space="preserve"> </w:t>
      </w:r>
      <w:r w:rsidR="00E203D9" w:rsidRPr="0016466A">
        <w:rPr>
          <w:lang w:val="fr-FR"/>
        </w:rPr>
        <w:t xml:space="preserve"> </w:t>
      </w:r>
      <w:r w:rsidR="00E203D9" w:rsidRPr="00861146">
        <w:rPr>
          <w:lang w:val="fr-FR"/>
        </w:rPr>
        <w:t>(</w:t>
      </w:r>
      <w:r w:rsidR="005D1F13" w:rsidRPr="00861146">
        <w:rPr>
          <w:lang w:val="fr-FR"/>
        </w:rPr>
        <w:t>Entrepreneurs themselves voluntarily limit the use of loans</w:t>
      </w:r>
      <w:r w:rsidR="00E203D9" w:rsidRPr="00861146">
        <w:rPr>
          <w:lang w:val="fr-FR"/>
        </w:rPr>
        <w:t xml:space="preserve">), </w:t>
      </w:r>
      <w:r w:rsidR="005D1F13" w:rsidRPr="00861146">
        <w:rPr>
          <w:b/>
          <w:lang w:val="fr-FR"/>
        </w:rPr>
        <w:t>L</w:t>
      </w:r>
      <w:r w:rsidRPr="00861146">
        <w:rPr>
          <w:b/>
          <w:lang w:val="fr-FR"/>
        </w:rPr>
        <w:t xml:space="preserve">e </w:t>
      </w:r>
      <w:r w:rsidR="00E203D9" w:rsidRPr="00861146">
        <w:rPr>
          <w:b/>
          <w:lang w:val="fr-FR"/>
        </w:rPr>
        <w:t>Monde</w:t>
      </w:r>
      <w:r w:rsidR="00E203D9" w:rsidRPr="00861146">
        <w:rPr>
          <w:lang w:val="fr-FR"/>
        </w:rPr>
        <w:t xml:space="preserve"> </w:t>
      </w:r>
      <w:r w:rsidR="005D1F13" w:rsidRPr="00861146">
        <w:rPr>
          <w:rStyle w:val="metadate"/>
          <w:lang w:val="fr-FR"/>
        </w:rPr>
        <w:t>5. July 2020</w:t>
      </w:r>
    </w:p>
    <w:p w:rsidR="00E203D9" w:rsidRPr="00861146" w:rsidRDefault="00E203D9" w:rsidP="001E6389">
      <w:pPr>
        <w:rPr>
          <w:i/>
          <w:lang w:val="fr-FR"/>
        </w:rPr>
      </w:pPr>
    </w:p>
    <w:p w:rsidR="00E203D9" w:rsidRPr="00861146" w:rsidRDefault="00E203D9" w:rsidP="00430D81">
      <w:pPr>
        <w:ind w:left="567"/>
        <w:rPr>
          <w:lang w:val="fr-FR"/>
        </w:rPr>
      </w:pPr>
      <w:r w:rsidRPr="00861146">
        <w:rPr>
          <w:lang w:val="fr-FR"/>
        </w:rPr>
        <w:t>"Le mauvais procès du court-termisme des actionnaires," (The wrong accusation of shareholder short termism) 12</w:t>
      </w:r>
      <w:r w:rsidR="005D1F13" w:rsidRPr="00861146">
        <w:rPr>
          <w:lang w:val="fr-FR"/>
        </w:rPr>
        <w:t>.</w:t>
      </w:r>
      <w:r w:rsidRPr="00861146">
        <w:rPr>
          <w:lang w:val="fr-FR"/>
        </w:rPr>
        <w:t xml:space="preserve"> July 2018, (with M. Roe), </w:t>
      </w:r>
      <w:r w:rsidRPr="00861146">
        <w:rPr>
          <w:b/>
          <w:lang w:val="fr-FR"/>
        </w:rPr>
        <w:t>Le Monde</w:t>
      </w:r>
    </w:p>
    <w:p w:rsidR="00430D81" w:rsidRPr="00861146" w:rsidRDefault="00430D81" w:rsidP="00776387">
      <w:pPr>
        <w:ind w:firstLine="567"/>
        <w:rPr>
          <w:lang w:val="fr-FR"/>
        </w:rPr>
      </w:pPr>
    </w:p>
    <w:p w:rsidR="00776387" w:rsidRPr="0058014D" w:rsidRDefault="00776387" w:rsidP="00776387">
      <w:pPr>
        <w:ind w:firstLine="567"/>
      </w:pPr>
      <w:r w:rsidRPr="0058014D">
        <w:t>“A Smarter Way to Tax Big Banks”, Feb. 1st, 2015, (with M. Roe),</w:t>
      </w:r>
      <w:r w:rsidR="00D47A76">
        <w:t xml:space="preserve"> </w:t>
      </w:r>
      <w:r w:rsidRPr="003046EC">
        <w:rPr>
          <w:b/>
        </w:rPr>
        <w:t>Wall Street Journal</w:t>
      </w:r>
    </w:p>
    <w:p w:rsidR="00776387" w:rsidRPr="0058014D" w:rsidRDefault="00776387" w:rsidP="000A0218">
      <w:pPr>
        <w:ind w:left="567"/>
      </w:pPr>
    </w:p>
    <w:p w:rsidR="00D47A76" w:rsidRPr="00915ECD" w:rsidRDefault="00D47A76" w:rsidP="00D47A76">
      <w:pPr>
        <w:ind w:left="567"/>
      </w:pPr>
      <w:r w:rsidRPr="00D47A76">
        <w:rPr>
          <w:lang w:val="de-DE"/>
        </w:rPr>
        <w:t>„Die richtigen Anreize</w:t>
      </w:r>
      <w:r w:rsidR="00944AAA">
        <w:rPr>
          <w:lang w:val="de-DE"/>
        </w:rPr>
        <w:t>:</w:t>
      </w:r>
      <w:r w:rsidRPr="00D47A76">
        <w:rPr>
          <w:lang w:val="de-DE"/>
        </w:rPr>
        <w:t xml:space="preserve"> Könnten Banken mit einer anderen Besteuerung sicherer werden?“  </w:t>
      </w:r>
      <w:r w:rsidRPr="00915ECD">
        <w:t xml:space="preserve">Mittwoch, 17. September 2014, Nr. 214 </w:t>
      </w:r>
      <w:r w:rsidRPr="00915ECD">
        <w:rPr>
          <w:b/>
        </w:rPr>
        <w:t>S</w:t>
      </w:r>
      <w:r w:rsidR="003046EC" w:rsidRPr="00915ECD">
        <w:rPr>
          <w:b/>
        </w:rPr>
        <w:t>ü</w:t>
      </w:r>
      <w:r w:rsidRPr="00915ECD">
        <w:rPr>
          <w:b/>
        </w:rPr>
        <w:t>ddeutsche Zeitung</w:t>
      </w:r>
      <w:r w:rsidR="003046EC" w:rsidRPr="00915ECD">
        <w:t>,</w:t>
      </w:r>
      <w:r w:rsidRPr="00915ECD">
        <w:t xml:space="preserve">  Geld &amp; Steuern </w:t>
      </w:r>
    </w:p>
    <w:p w:rsidR="00D47A76" w:rsidRDefault="00D47A76" w:rsidP="000A0218">
      <w:pPr>
        <w:ind w:left="567"/>
      </w:pPr>
    </w:p>
    <w:p w:rsidR="000A0218" w:rsidRPr="0058014D" w:rsidRDefault="00EC36DE" w:rsidP="000A0218">
      <w:pPr>
        <w:ind w:left="567"/>
      </w:pPr>
      <w:r w:rsidRPr="0058014D">
        <w:t>“How to use a bank tax to make the financial system safer”, March 25</w:t>
      </w:r>
      <w:r w:rsidRPr="0058014D">
        <w:rPr>
          <w:vertAlign w:val="superscript"/>
        </w:rPr>
        <w:t>th</w:t>
      </w:r>
      <w:r w:rsidRPr="0058014D">
        <w:t xml:space="preserve"> 2014 (with M</w:t>
      </w:r>
      <w:r w:rsidR="00776387" w:rsidRPr="0058014D">
        <w:t>.</w:t>
      </w:r>
      <w:r w:rsidRPr="0058014D">
        <w:t xml:space="preserve"> Roe), </w:t>
      </w:r>
      <w:r w:rsidRPr="003046EC">
        <w:rPr>
          <w:b/>
        </w:rPr>
        <w:t>Financial Times</w:t>
      </w:r>
      <w:r w:rsidR="00D75EFB" w:rsidRPr="003046EC">
        <w:rPr>
          <w:b/>
        </w:rPr>
        <w:t>.</w:t>
      </w:r>
    </w:p>
    <w:p w:rsidR="00845A27" w:rsidRPr="0058014D" w:rsidRDefault="00845A27" w:rsidP="000A0218">
      <w:pPr>
        <w:ind w:left="567"/>
      </w:pPr>
    </w:p>
    <w:p w:rsidR="00D47A76" w:rsidRPr="00D47A76" w:rsidRDefault="00D47A76" w:rsidP="00D47A76">
      <w:pPr>
        <w:ind w:left="567"/>
        <w:rPr>
          <w:lang w:val="fr-FR"/>
        </w:rPr>
      </w:pPr>
      <w:r w:rsidRPr="00D47A76">
        <w:rPr>
          <w:lang w:val="fr-FR"/>
        </w:rPr>
        <w:t>“</w:t>
      </w:r>
      <w:hyperlink r:id="rId11" w:tooltip="N’imposons pas les capitaux propres des banques, mais la dette !" w:history="1">
        <w:r w:rsidRPr="00D47A76">
          <w:rPr>
            <w:lang w:val="fr-FR"/>
          </w:rPr>
          <w:t xml:space="preserve">N’imposons pas les capitaux propres des banques, mais la dette ! ” </w:t>
        </w:r>
      </w:hyperlink>
      <w:r w:rsidRPr="00D47A76">
        <w:rPr>
          <w:lang w:val="fr-FR"/>
        </w:rPr>
        <w:t xml:space="preserve">(avec M. Roe, Harvard Law School), 27/03/2014, </w:t>
      </w:r>
      <w:r w:rsidRPr="00E203D9">
        <w:rPr>
          <w:b/>
          <w:lang w:val="fr-FR"/>
        </w:rPr>
        <w:t>Revue Banque</w:t>
      </w:r>
      <w:r w:rsidRPr="00D47A76">
        <w:rPr>
          <w:lang w:val="fr-FR"/>
        </w:rPr>
        <w:t xml:space="preserve"> n° 771</w:t>
      </w:r>
      <w:r w:rsidRPr="00D47A76">
        <w:rPr>
          <w:lang w:val="fr-FR"/>
        </w:rPr>
        <w:br/>
      </w:r>
    </w:p>
    <w:p w:rsidR="00D47A76" w:rsidRPr="00D47A76" w:rsidRDefault="00D47A76" w:rsidP="00D47A76">
      <w:pPr>
        <w:ind w:left="567"/>
        <w:rPr>
          <w:lang w:val="fr-FR"/>
        </w:rPr>
      </w:pPr>
      <w:r w:rsidRPr="00D47A76">
        <w:rPr>
          <w:lang w:val="fr-FR"/>
        </w:rPr>
        <w:t>“</w:t>
      </w:r>
      <w:hyperlink r:id="rId12" w:tooltip="La réglementation financière décryptée par Labex-Réfi : nous pouvons simplifier la régulation financière" w:history="1">
        <w:r w:rsidRPr="00D47A76">
          <w:rPr>
            <w:lang w:val="fr-FR"/>
          </w:rPr>
          <w:t>Nous pouvons simplifier la régulation financière”</w:t>
        </w:r>
        <w:r>
          <w:rPr>
            <w:lang w:val="fr-FR"/>
          </w:rPr>
          <w:t>  </w:t>
        </w:r>
        <w:r w:rsidRPr="00D47A76">
          <w:rPr>
            <w:lang w:val="fr-FR"/>
          </w:rPr>
          <w:t xml:space="preserve"> </w:t>
        </w:r>
      </w:hyperlink>
      <w:r w:rsidRPr="00D47A76">
        <w:rPr>
          <w:lang w:val="fr-FR"/>
        </w:rPr>
        <w:t xml:space="preserve">, 23/12/2013, </w:t>
      </w:r>
      <w:r w:rsidRPr="00E203D9">
        <w:rPr>
          <w:b/>
          <w:lang w:val="fr-FR"/>
        </w:rPr>
        <w:t>Revue Banque</w:t>
      </w:r>
      <w:r w:rsidRPr="00D47A76">
        <w:rPr>
          <w:lang w:val="fr-FR"/>
        </w:rPr>
        <w:t xml:space="preserve"> n° 767, avec. C.</w:t>
      </w:r>
      <w:r>
        <w:rPr>
          <w:lang w:val="fr-FR"/>
        </w:rPr>
        <w:t xml:space="preserve"> </w:t>
      </w:r>
      <w:r w:rsidRPr="00D47A76">
        <w:rPr>
          <w:lang w:val="fr-FR"/>
        </w:rPr>
        <w:t>Kobrak,  ESCP Europe</w:t>
      </w:r>
    </w:p>
    <w:p w:rsidR="00D47A76" w:rsidRDefault="00D47A76" w:rsidP="000A0218">
      <w:pPr>
        <w:ind w:left="567"/>
        <w:rPr>
          <w:lang w:val="fr-FR"/>
        </w:rPr>
      </w:pPr>
    </w:p>
    <w:p w:rsidR="000A0218" w:rsidRPr="00D47A76" w:rsidRDefault="000A0218" w:rsidP="000A0218">
      <w:pPr>
        <w:ind w:left="567"/>
        <w:rPr>
          <w:lang w:val="fr-FR"/>
        </w:rPr>
      </w:pPr>
      <w:r w:rsidRPr="00D47A76">
        <w:rPr>
          <w:lang w:val="fr-FR"/>
        </w:rPr>
        <w:t>“Aidons l’industrie de la banque d’investissement en la séparant d</w:t>
      </w:r>
      <w:r w:rsidR="00130E24" w:rsidRPr="00D47A76">
        <w:rPr>
          <w:lang w:val="fr-FR"/>
        </w:rPr>
        <w:t>e la banque commerciale”</w:t>
      </w:r>
      <w:r w:rsidRPr="00D47A76">
        <w:rPr>
          <w:lang w:val="fr-FR"/>
        </w:rPr>
        <w:t xml:space="preserve">, December 2012, </w:t>
      </w:r>
      <w:r w:rsidRPr="00E203D9">
        <w:rPr>
          <w:b/>
          <w:lang w:val="fr-FR"/>
        </w:rPr>
        <w:t>Revue Banque.</w:t>
      </w:r>
    </w:p>
    <w:p w:rsidR="000A0218" w:rsidRPr="00D47A76" w:rsidRDefault="000A0218" w:rsidP="000A0218">
      <w:pPr>
        <w:ind w:left="567"/>
        <w:rPr>
          <w:lang w:val="fr-FR"/>
        </w:rPr>
      </w:pPr>
    </w:p>
    <w:p w:rsidR="000A0218" w:rsidRPr="0058014D" w:rsidRDefault="000A0218" w:rsidP="000A0218">
      <w:pPr>
        <w:ind w:left="567"/>
      </w:pPr>
      <w:r w:rsidRPr="0058014D">
        <w:t xml:space="preserve">“Tiền mất, tật mang nhìn từ phi vụ Facebook” (Why the smart money did not invest in Facebook), June 2012, </w:t>
      </w:r>
      <w:r w:rsidRPr="00E203D9">
        <w:rPr>
          <w:b/>
        </w:rPr>
        <w:t>VnExpress</w:t>
      </w:r>
      <w:r w:rsidRPr="0058014D">
        <w:t xml:space="preserve"> 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“Le faux Graal de la performance bancaire” (The false Grail of bank performance)</w:t>
      </w:r>
    </w:p>
    <w:p w:rsidR="000A0218" w:rsidRPr="0058014D" w:rsidRDefault="000A0218" w:rsidP="000A0218">
      <w:pPr>
        <w:ind w:left="567"/>
      </w:pPr>
      <w:r w:rsidRPr="0058014D">
        <w:t xml:space="preserve">with  C.Moussu and S. Ohana , April 2011, </w:t>
      </w:r>
      <w:r w:rsidRPr="00E203D9">
        <w:rPr>
          <w:b/>
        </w:rPr>
        <w:t>La Tribune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“Andere Steuern für Banken" (Taxing banks differently)</w:t>
      </w:r>
      <w:r w:rsidR="000D7C4A" w:rsidRPr="0058014D">
        <w:t>, March  2010,</w:t>
      </w:r>
      <w:r w:rsidRPr="0058014D">
        <w:t xml:space="preserve"> </w:t>
      </w:r>
      <w:r w:rsidRPr="00861146">
        <w:rPr>
          <w:b/>
        </w:rPr>
        <w:t>Financial Times</w:t>
      </w:r>
      <w:r w:rsidRPr="0058014D">
        <w:t xml:space="preserve"> Deutschland, </w:t>
      </w:r>
    </w:p>
    <w:p w:rsidR="000D7C4A" w:rsidRPr="0058014D" w:rsidRDefault="000D7C4A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t>“Finance Islamique et regulation des marchés financiers” (Understanding Islamic Finance as a form of Financial Regulation</w:t>
      </w:r>
      <w:r w:rsidR="008244F0" w:rsidRPr="0058014D">
        <w:t>)</w:t>
      </w:r>
      <w:r w:rsidRPr="0058014D">
        <w:t xml:space="preserve">, June 2009, </w:t>
      </w:r>
      <w:r w:rsidRPr="00861146">
        <w:rPr>
          <w:b/>
        </w:rPr>
        <w:t>Entreprendre et Diriger</w:t>
      </w:r>
      <w:r w:rsidRPr="0058014D">
        <w:t xml:space="preserve">, Beyrouth,  </w:t>
      </w:r>
    </w:p>
    <w:p w:rsidR="000A0218" w:rsidRPr="0058014D" w:rsidRDefault="000A0218" w:rsidP="000A0218">
      <w:pPr>
        <w:ind w:left="567"/>
      </w:pPr>
    </w:p>
    <w:p w:rsidR="000A0218" w:rsidRPr="0058014D" w:rsidRDefault="000A0218" w:rsidP="000A0218">
      <w:pPr>
        <w:ind w:left="567"/>
      </w:pPr>
      <w:r w:rsidRPr="0058014D">
        <w:lastRenderedPageBreak/>
        <w:t xml:space="preserve">“Bank-Firm Relationship: A Review of the Theoretical Literature", in Zopunidis C. (ed.), , New Trends in Banking Management, Contributions to Management Science, Springer Verlag, pp 105-118, 14 p. </w:t>
      </w:r>
    </w:p>
    <w:p w:rsidR="00C43C87" w:rsidRPr="0058014D" w:rsidRDefault="00C43C87" w:rsidP="00706615">
      <w:pPr>
        <w:ind w:left="2124" w:hanging="1557"/>
      </w:pPr>
      <w:r w:rsidRPr="0058014D">
        <w:t xml:space="preserve"> </w:t>
      </w:r>
    </w:p>
    <w:p w:rsidR="003046EC" w:rsidRPr="0058014D" w:rsidRDefault="003046EC" w:rsidP="003046EC">
      <w:pPr>
        <w:pStyle w:val="Heading1"/>
        <w:numPr>
          <w:ilvl w:val="0"/>
          <w:numId w:val="0"/>
        </w:numPr>
        <w:rPr>
          <w:b w:val="0"/>
          <w:szCs w:val="24"/>
        </w:rPr>
      </w:pPr>
      <w:r w:rsidRPr="0058014D">
        <w:rPr>
          <w:b w:val="0"/>
          <w:szCs w:val="24"/>
        </w:rPr>
        <w:t>Working Papers</w:t>
      </w:r>
    </w:p>
    <w:p w:rsidR="003046EC" w:rsidRPr="0058014D" w:rsidRDefault="003046EC" w:rsidP="003046EC">
      <w:pPr>
        <w:ind w:left="567"/>
      </w:pPr>
    </w:p>
    <w:p w:rsidR="003046EC" w:rsidRPr="00261272" w:rsidRDefault="00261272" w:rsidP="00261272">
      <w:pPr>
        <w:ind w:left="567"/>
      </w:pPr>
      <w:r w:rsidRPr="00261272">
        <w:t>Ethics or Economics: What Drives Strategic Default? (co-authored with J.C. Statni</w:t>
      </w:r>
      <w:r>
        <w:t>k</w:t>
      </w:r>
      <w:r w:rsidRPr="00261272">
        <w:t xml:space="preserve"> and H. Nguyen)</w:t>
      </w:r>
      <w:r w:rsidR="00DE2C07">
        <w:t>, resubmit at the Journal of Business Ethics</w:t>
      </w:r>
    </w:p>
    <w:p w:rsidR="00261272" w:rsidRPr="00261272" w:rsidRDefault="00261272" w:rsidP="00261272">
      <w:pPr>
        <w:spacing w:after="160" w:line="259" w:lineRule="auto"/>
        <w:ind w:left="567"/>
        <w:contextualSpacing/>
        <w:rPr>
          <w:lang w:val="en-GB"/>
        </w:rPr>
      </w:pPr>
    </w:p>
    <w:p w:rsidR="00261272" w:rsidRPr="007E4C8B" w:rsidRDefault="00261272" w:rsidP="00261272">
      <w:pPr>
        <w:ind w:left="567"/>
        <w:rPr>
          <w:lang w:val="en-GB"/>
        </w:rPr>
      </w:pPr>
      <w:r w:rsidRPr="008F7556">
        <w:rPr>
          <w:lang w:val="en-GB"/>
        </w:rPr>
        <w:t>Passing the Parcel ? Relationship Banking at the Onset o</w:t>
      </w:r>
      <w:r>
        <w:rPr>
          <w:lang w:val="en-GB"/>
        </w:rPr>
        <w:t>f</w:t>
      </w:r>
      <w:r w:rsidRPr="008F7556">
        <w:rPr>
          <w:lang w:val="en-GB"/>
        </w:rPr>
        <w:t xml:space="preserve"> Financial Distress (with </w:t>
      </w:r>
      <w:r>
        <w:rPr>
          <w:lang w:val="en-GB"/>
        </w:rPr>
        <w:t>F.</w:t>
      </w:r>
      <w:r w:rsidRPr="008F7556">
        <w:rPr>
          <w:lang w:val="en-GB"/>
        </w:rPr>
        <w:t xml:space="preserve"> Salvade</w:t>
      </w:r>
      <w:r>
        <w:rPr>
          <w:lang w:val="en-GB"/>
        </w:rPr>
        <w:t xml:space="preserve"> and N. Taillet)</w:t>
      </w:r>
    </w:p>
    <w:p w:rsidR="003046EC" w:rsidRPr="0058014D" w:rsidRDefault="003046EC" w:rsidP="003046EC">
      <w:pPr>
        <w:ind w:left="567"/>
      </w:pPr>
    </w:p>
    <w:p w:rsidR="00261272" w:rsidRPr="00261272" w:rsidRDefault="00261272" w:rsidP="00261272">
      <w:pPr>
        <w:ind w:left="567"/>
        <w:rPr>
          <w:lang w:val="en-GB"/>
        </w:rPr>
      </w:pPr>
      <w:r w:rsidRPr="00261272">
        <w:rPr>
          <w:lang w:val="en-GB"/>
        </w:rPr>
        <w:t>Monitoring Capacity, Lending to Distant Borrowers and Credit Cycles (with H.  Nguyen and H.T. Nguyen)</w:t>
      </w:r>
    </w:p>
    <w:p w:rsidR="00261272" w:rsidRDefault="00261272" w:rsidP="00261272">
      <w:pPr>
        <w:ind w:left="567"/>
        <w:rPr>
          <w:lang w:val="en-GB"/>
        </w:rPr>
      </w:pPr>
    </w:p>
    <w:p w:rsidR="003046EC" w:rsidRPr="0058014D" w:rsidRDefault="003046EC" w:rsidP="003046EC">
      <w:pPr>
        <w:ind w:left="567"/>
      </w:pPr>
    </w:p>
    <w:p w:rsidR="007C43E2" w:rsidRDefault="007C43E2" w:rsidP="003046EC">
      <w:pPr>
        <w:pStyle w:val="Heading1"/>
        <w:numPr>
          <w:ilvl w:val="0"/>
          <w:numId w:val="0"/>
        </w:numPr>
        <w:rPr>
          <w:b w:val="0"/>
          <w:szCs w:val="24"/>
        </w:rPr>
      </w:pPr>
      <w:r>
        <w:rPr>
          <w:b w:val="0"/>
          <w:szCs w:val="24"/>
        </w:rPr>
        <w:t>Organization of Conferences and Workshops</w:t>
      </w:r>
    </w:p>
    <w:p w:rsidR="007C43E2" w:rsidRPr="007C43E2" w:rsidRDefault="007C43E2" w:rsidP="007C43E2"/>
    <w:p w:rsidR="00305EB2" w:rsidRDefault="00305EB2" w:rsidP="00305EB2">
      <w:pPr>
        <w:tabs>
          <w:tab w:val="left" w:pos="2552"/>
        </w:tabs>
        <w:ind w:left="2547" w:hanging="1980"/>
        <w:rPr>
          <w:bCs/>
        </w:rPr>
      </w:pPr>
      <w:r w:rsidRPr="0058014D">
        <w:rPr>
          <w:bCs/>
        </w:rPr>
        <w:t>20</w:t>
      </w:r>
      <w:r>
        <w:rPr>
          <w:bCs/>
        </w:rPr>
        <w:t>2</w:t>
      </w:r>
      <w:r>
        <w:rPr>
          <w:bCs/>
        </w:rPr>
        <w:t>5</w:t>
      </w:r>
      <w:r w:rsidRPr="0058014D">
        <w:rPr>
          <w:bCs/>
        </w:rPr>
        <w:tab/>
      </w:r>
      <w:r>
        <w:rPr>
          <w:bCs/>
        </w:rPr>
        <w:t>1</w:t>
      </w:r>
      <w:r>
        <w:rPr>
          <w:bCs/>
        </w:rPr>
        <w:t>5</w:t>
      </w:r>
      <w:r w:rsidRPr="007C43E2">
        <w:rPr>
          <w:bCs/>
          <w:vertAlign w:val="superscript"/>
        </w:rPr>
        <w:t>th</w:t>
      </w:r>
      <w:r>
        <w:rPr>
          <w:bCs/>
        </w:rPr>
        <w:t xml:space="preserve"> </w:t>
      </w:r>
      <w:r w:rsidRPr="007C43E2">
        <w:rPr>
          <w:bCs/>
        </w:rPr>
        <w:t xml:space="preserve"> NYU - LawFin/SAFE - ESCP BS Law &amp; Banking / Finance Conference</w:t>
      </w:r>
      <w:r>
        <w:rPr>
          <w:bCs/>
        </w:rPr>
        <w:t>, New York, (Co-organizer)</w:t>
      </w:r>
    </w:p>
    <w:p w:rsidR="00305EB2" w:rsidRDefault="00305EB2" w:rsidP="00305EB2">
      <w:pPr>
        <w:tabs>
          <w:tab w:val="left" w:pos="2552"/>
        </w:tabs>
        <w:ind w:left="2547" w:hanging="1980"/>
        <w:rPr>
          <w:bCs/>
        </w:rPr>
      </w:pPr>
    </w:p>
    <w:p w:rsidR="00305EB2" w:rsidRDefault="00305EB2" w:rsidP="007C43E2">
      <w:pPr>
        <w:tabs>
          <w:tab w:val="left" w:pos="2552"/>
        </w:tabs>
        <w:ind w:left="2547" w:hanging="1980"/>
        <w:rPr>
          <w:bCs/>
        </w:rPr>
      </w:pPr>
      <w:r w:rsidRPr="0058014D">
        <w:rPr>
          <w:bCs/>
        </w:rPr>
        <w:t>20</w:t>
      </w:r>
      <w:r>
        <w:rPr>
          <w:bCs/>
        </w:rPr>
        <w:t>25</w:t>
      </w:r>
      <w:r>
        <w:rPr>
          <w:bCs/>
        </w:rPr>
        <w:tab/>
      </w:r>
      <w:r>
        <w:t>Competition policy in direct financial markets</w:t>
      </w:r>
    </w:p>
    <w:p w:rsidR="00305EB2" w:rsidRDefault="00305EB2" w:rsidP="007C43E2">
      <w:pPr>
        <w:tabs>
          <w:tab w:val="left" w:pos="2552"/>
        </w:tabs>
        <w:ind w:left="2547" w:hanging="1980"/>
        <w:rPr>
          <w:bCs/>
        </w:rPr>
      </w:pPr>
    </w:p>
    <w:p w:rsidR="007C43E2" w:rsidRDefault="007C43E2" w:rsidP="007C43E2">
      <w:pPr>
        <w:tabs>
          <w:tab w:val="left" w:pos="2552"/>
        </w:tabs>
        <w:ind w:left="2547" w:hanging="1980"/>
        <w:rPr>
          <w:bCs/>
        </w:rPr>
      </w:pPr>
      <w:r w:rsidRPr="0058014D">
        <w:rPr>
          <w:bCs/>
        </w:rPr>
        <w:t>20</w:t>
      </w:r>
      <w:r>
        <w:rPr>
          <w:bCs/>
        </w:rPr>
        <w:t>24</w:t>
      </w:r>
      <w:r w:rsidRPr="0058014D">
        <w:rPr>
          <w:bCs/>
        </w:rPr>
        <w:tab/>
      </w:r>
      <w:r>
        <w:rPr>
          <w:bCs/>
        </w:rPr>
        <w:t>14</w:t>
      </w:r>
      <w:r w:rsidRPr="007C43E2">
        <w:rPr>
          <w:bCs/>
          <w:vertAlign w:val="superscript"/>
        </w:rPr>
        <w:t>th</w:t>
      </w:r>
      <w:r>
        <w:rPr>
          <w:bCs/>
        </w:rPr>
        <w:t xml:space="preserve"> </w:t>
      </w:r>
      <w:r w:rsidRPr="007C43E2">
        <w:rPr>
          <w:bCs/>
        </w:rPr>
        <w:t xml:space="preserve"> NYU - LawFin/SAFE - ESCP BS Law &amp; Banking / Finance Conference</w:t>
      </w:r>
      <w:r>
        <w:rPr>
          <w:bCs/>
        </w:rPr>
        <w:t>, New York, (Co-organizer)</w:t>
      </w:r>
    </w:p>
    <w:p w:rsidR="00A751EC" w:rsidRDefault="00A751EC" w:rsidP="007C43E2">
      <w:pPr>
        <w:tabs>
          <w:tab w:val="left" w:pos="2552"/>
        </w:tabs>
        <w:ind w:left="2547" w:hanging="1980"/>
        <w:rPr>
          <w:bCs/>
        </w:rPr>
      </w:pPr>
    </w:p>
    <w:p w:rsidR="007C43E2" w:rsidRDefault="007C43E2" w:rsidP="007C43E2">
      <w:pPr>
        <w:tabs>
          <w:tab w:val="left" w:pos="2552"/>
        </w:tabs>
        <w:ind w:left="2547" w:hanging="1980"/>
        <w:rPr>
          <w:bCs/>
        </w:rPr>
      </w:pPr>
      <w:r w:rsidRPr="0058014D">
        <w:rPr>
          <w:bCs/>
        </w:rPr>
        <w:t>20</w:t>
      </w:r>
      <w:r>
        <w:rPr>
          <w:bCs/>
        </w:rPr>
        <w:t>23</w:t>
      </w:r>
      <w:r w:rsidRPr="0058014D">
        <w:rPr>
          <w:bCs/>
        </w:rPr>
        <w:tab/>
      </w:r>
      <w:r>
        <w:rPr>
          <w:bCs/>
        </w:rPr>
        <w:t>13</w:t>
      </w:r>
      <w:r w:rsidRPr="007C43E2">
        <w:rPr>
          <w:bCs/>
          <w:vertAlign w:val="superscript"/>
        </w:rPr>
        <w:t>th</w:t>
      </w:r>
      <w:r>
        <w:rPr>
          <w:bCs/>
        </w:rPr>
        <w:t xml:space="preserve"> </w:t>
      </w:r>
      <w:r w:rsidRPr="007C43E2">
        <w:rPr>
          <w:bCs/>
        </w:rPr>
        <w:t xml:space="preserve"> NYU - LawFin/SAFE - ESCP BS Law &amp; Banking / Finance Conference</w:t>
      </w:r>
      <w:r>
        <w:rPr>
          <w:bCs/>
        </w:rPr>
        <w:t>, Frankfurt  (Co-organizer)</w:t>
      </w:r>
    </w:p>
    <w:p w:rsidR="00A751EC" w:rsidRDefault="00A751EC" w:rsidP="007C43E2">
      <w:pPr>
        <w:tabs>
          <w:tab w:val="left" w:pos="2552"/>
        </w:tabs>
        <w:ind w:left="2547" w:hanging="1980"/>
        <w:rPr>
          <w:bCs/>
        </w:rPr>
      </w:pPr>
    </w:p>
    <w:p w:rsidR="007C43E2" w:rsidRDefault="007C43E2" w:rsidP="007C43E2">
      <w:pPr>
        <w:tabs>
          <w:tab w:val="left" w:pos="2552"/>
        </w:tabs>
        <w:ind w:left="2547" w:hanging="1980"/>
        <w:rPr>
          <w:bCs/>
        </w:rPr>
      </w:pPr>
      <w:r w:rsidRPr="0058014D">
        <w:rPr>
          <w:bCs/>
        </w:rPr>
        <w:t>20</w:t>
      </w:r>
      <w:r>
        <w:rPr>
          <w:bCs/>
        </w:rPr>
        <w:t>22</w:t>
      </w:r>
      <w:r w:rsidRPr="0058014D">
        <w:rPr>
          <w:bCs/>
        </w:rPr>
        <w:tab/>
      </w:r>
      <w:r>
        <w:rPr>
          <w:bCs/>
        </w:rPr>
        <w:t>12</w:t>
      </w:r>
      <w:r w:rsidRPr="007C43E2">
        <w:rPr>
          <w:bCs/>
          <w:vertAlign w:val="superscript"/>
        </w:rPr>
        <w:t>th</w:t>
      </w:r>
      <w:r>
        <w:rPr>
          <w:bCs/>
        </w:rPr>
        <w:t xml:space="preserve"> </w:t>
      </w:r>
      <w:r w:rsidRPr="007C43E2">
        <w:rPr>
          <w:bCs/>
        </w:rPr>
        <w:t xml:space="preserve"> NYU - LawFin/SAFE - ESCP BS Law &amp; Banking / Finance Conference</w:t>
      </w:r>
      <w:r>
        <w:rPr>
          <w:bCs/>
        </w:rPr>
        <w:t>, Frankfurt (Co-organizer)</w:t>
      </w:r>
    </w:p>
    <w:p w:rsidR="0086172E" w:rsidRDefault="0086172E" w:rsidP="007C43E2">
      <w:pPr>
        <w:tabs>
          <w:tab w:val="left" w:pos="2552"/>
        </w:tabs>
        <w:ind w:left="2547" w:hanging="1980"/>
        <w:rPr>
          <w:bCs/>
        </w:rPr>
      </w:pPr>
    </w:p>
    <w:p w:rsidR="00A751EC" w:rsidRDefault="00A751EC" w:rsidP="00A751EC">
      <w:pPr>
        <w:tabs>
          <w:tab w:val="left" w:pos="2552"/>
        </w:tabs>
        <w:ind w:left="2547" w:hanging="1980"/>
        <w:rPr>
          <w:bCs/>
        </w:rPr>
      </w:pPr>
      <w:r w:rsidRPr="0058014D">
        <w:rPr>
          <w:bCs/>
        </w:rPr>
        <w:t>20</w:t>
      </w:r>
      <w:r>
        <w:rPr>
          <w:bCs/>
        </w:rPr>
        <w:t>19</w:t>
      </w:r>
      <w:r w:rsidRPr="0058014D">
        <w:rPr>
          <w:bCs/>
        </w:rPr>
        <w:tab/>
      </w:r>
      <w:r>
        <w:rPr>
          <w:bCs/>
        </w:rPr>
        <w:t>10</w:t>
      </w:r>
      <w:r w:rsidRPr="007C43E2">
        <w:rPr>
          <w:bCs/>
          <w:vertAlign w:val="superscript"/>
        </w:rPr>
        <w:t>th</w:t>
      </w:r>
      <w:r>
        <w:rPr>
          <w:bCs/>
        </w:rPr>
        <w:t xml:space="preserve"> </w:t>
      </w:r>
      <w:r w:rsidRPr="007C43E2">
        <w:rPr>
          <w:bCs/>
        </w:rPr>
        <w:t xml:space="preserve"> NYU - LawFin/SAFE - ESCP BS Law &amp; Banking / Finance Conference</w:t>
      </w:r>
      <w:r>
        <w:rPr>
          <w:bCs/>
        </w:rPr>
        <w:t>, Frankfurt (Co-organizer)</w:t>
      </w:r>
    </w:p>
    <w:p w:rsidR="00A751EC" w:rsidRDefault="00A751EC" w:rsidP="007C43E2">
      <w:pPr>
        <w:tabs>
          <w:tab w:val="left" w:pos="2552"/>
        </w:tabs>
        <w:ind w:left="2547" w:hanging="1980"/>
        <w:rPr>
          <w:bCs/>
        </w:rPr>
      </w:pPr>
    </w:p>
    <w:p w:rsidR="007C43E2" w:rsidRDefault="00A751EC" w:rsidP="007C43E2">
      <w:pPr>
        <w:tabs>
          <w:tab w:val="left" w:pos="2552"/>
        </w:tabs>
        <w:ind w:left="2547" w:hanging="1980"/>
        <w:rPr>
          <w:bCs/>
          <w:lang w:val="fr-FR"/>
        </w:rPr>
      </w:pPr>
      <w:r w:rsidRPr="00A751EC">
        <w:rPr>
          <w:bCs/>
          <w:lang w:val="fr-FR"/>
        </w:rPr>
        <w:t>2019</w:t>
      </w:r>
      <w:r>
        <w:rPr>
          <w:bCs/>
          <w:lang w:val="fr-FR"/>
        </w:rPr>
        <w:tab/>
      </w:r>
      <w:r w:rsidRPr="00A751EC">
        <w:rPr>
          <w:bCs/>
          <w:lang w:val="fr-FR"/>
        </w:rPr>
        <w:t>Entreprise, finance et long terme</w:t>
      </w:r>
      <w:r>
        <w:rPr>
          <w:bCs/>
          <w:lang w:val="fr-FR"/>
        </w:rPr>
        <w:t xml:space="preserve">, </w:t>
      </w:r>
      <w:r w:rsidRPr="00A751EC">
        <w:rPr>
          <w:bCs/>
          <w:lang w:val="fr-FR"/>
        </w:rPr>
        <w:t>Ministère de l’Economie et des Finances</w:t>
      </w:r>
    </w:p>
    <w:p w:rsidR="00A751EC" w:rsidRPr="00A751EC" w:rsidRDefault="00A751EC" w:rsidP="00A751EC">
      <w:pPr>
        <w:tabs>
          <w:tab w:val="left" w:pos="2552"/>
        </w:tabs>
        <w:ind w:left="2547" w:hanging="1980"/>
        <w:rPr>
          <w:bCs/>
          <w:lang w:val="fr-FR"/>
        </w:rPr>
      </w:pPr>
    </w:p>
    <w:p w:rsidR="00A751EC" w:rsidRDefault="00A751EC" w:rsidP="00A751EC">
      <w:pPr>
        <w:tabs>
          <w:tab w:val="left" w:pos="2552"/>
        </w:tabs>
        <w:ind w:left="2547" w:hanging="1980"/>
        <w:rPr>
          <w:bCs/>
          <w:lang w:val="fr-FR"/>
        </w:rPr>
      </w:pPr>
      <w:r w:rsidRPr="00A751EC">
        <w:rPr>
          <w:bCs/>
          <w:lang w:val="fr-FR"/>
        </w:rPr>
        <w:t>201</w:t>
      </w:r>
      <w:r>
        <w:rPr>
          <w:bCs/>
          <w:lang w:val="fr-FR"/>
        </w:rPr>
        <w:t>8</w:t>
      </w:r>
      <w:r>
        <w:rPr>
          <w:bCs/>
          <w:lang w:val="fr-FR"/>
        </w:rPr>
        <w:tab/>
        <w:t xml:space="preserve">Association Francaise de Finance, Annual Meeting </w:t>
      </w:r>
    </w:p>
    <w:p w:rsidR="00A751EC" w:rsidRPr="00A751EC" w:rsidRDefault="00A751EC" w:rsidP="007C43E2">
      <w:pPr>
        <w:tabs>
          <w:tab w:val="left" w:pos="2552"/>
        </w:tabs>
        <w:ind w:left="2547" w:hanging="1980"/>
        <w:rPr>
          <w:bCs/>
          <w:lang w:val="fr-FR"/>
        </w:rPr>
      </w:pPr>
    </w:p>
    <w:p w:rsidR="007C43E2" w:rsidRPr="007C43E2" w:rsidRDefault="00A751EC" w:rsidP="007C43E2">
      <w:pPr>
        <w:tabs>
          <w:tab w:val="left" w:pos="2552"/>
        </w:tabs>
        <w:ind w:left="2547" w:hanging="1980"/>
        <w:rPr>
          <w:bCs/>
          <w:lang w:val="fr-FR"/>
        </w:rPr>
      </w:pPr>
      <w:r>
        <w:rPr>
          <w:bCs/>
          <w:lang w:val="fr-FR"/>
        </w:rPr>
        <w:t>2012</w:t>
      </w:r>
      <w:r>
        <w:rPr>
          <w:bCs/>
          <w:lang w:val="fr-FR"/>
        </w:rPr>
        <w:tab/>
      </w:r>
      <w:r w:rsidR="007C43E2" w:rsidRPr="007C43E2">
        <w:rPr>
          <w:bCs/>
          <w:lang w:val="fr-FR"/>
        </w:rPr>
        <w:t>Labex debate</w:t>
      </w:r>
      <w:r>
        <w:rPr>
          <w:bCs/>
          <w:lang w:val="fr-FR"/>
        </w:rPr>
        <w:t> :</w:t>
      </w:r>
      <w:r w:rsidR="007C43E2">
        <w:rPr>
          <w:bCs/>
          <w:lang w:val="fr-FR"/>
        </w:rPr>
        <w:t xml:space="preserve"> </w:t>
      </w:r>
      <w:r w:rsidR="007C43E2" w:rsidRPr="007C43E2">
        <w:rPr>
          <w:bCs/>
          <w:lang w:val="fr-FR"/>
        </w:rPr>
        <w:t>Séparation des banques de dépôt et d'investissement : vers un nouveau Glass-Steagall Act ?</w:t>
      </w:r>
    </w:p>
    <w:p w:rsidR="007C43E2" w:rsidRPr="007C43E2" w:rsidRDefault="007C43E2" w:rsidP="007C43E2">
      <w:pPr>
        <w:tabs>
          <w:tab w:val="left" w:pos="2552"/>
        </w:tabs>
        <w:ind w:left="2547" w:hanging="1980"/>
        <w:rPr>
          <w:bCs/>
          <w:lang w:val="fr-FR"/>
        </w:rPr>
      </w:pPr>
    </w:p>
    <w:p w:rsidR="007C43E2" w:rsidRPr="007C43E2" w:rsidRDefault="007C43E2" w:rsidP="007C43E2">
      <w:pPr>
        <w:tabs>
          <w:tab w:val="left" w:pos="2552"/>
        </w:tabs>
        <w:ind w:left="2547" w:hanging="1980"/>
        <w:rPr>
          <w:bCs/>
          <w:lang w:val="fr-FR"/>
        </w:rPr>
      </w:pPr>
    </w:p>
    <w:p w:rsidR="003046EC" w:rsidRPr="00A751EC" w:rsidRDefault="003046EC" w:rsidP="003046EC">
      <w:pPr>
        <w:pStyle w:val="Heading1"/>
        <w:numPr>
          <w:ilvl w:val="0"/>
          <w:numId w:val="0"/>
        </w:numPr>
        <w:rPr>
          <w:b w:val="0"/>
          <w:szCs w:val="24"/>
          <w:lang w:val="fr-FR"/>
        </w:rPr>
      </w:pPr>
      <w:r w:rsidRPr="00A751EC">
        <w:rPr>
          <w:b w:val="0"/>
          <w:szCs w:val="24"/>
          <w:lang w:val="fr-FR"/>
        </w:rPr>
        <w:t>Selected Presentations</w:t>
      </w:r>
    </w:p>
    <w:p w:rsidR="003046EC" w:rsidRPr="00A751EC" w:rsidRDefault="003046EC" w:rsidP="003046EC">
      <w:pPr>
        <w:pStyle w:val="BodyTextIndent3"/>
        <w:jc w:val="both"/>
        <w:rPr>
          <w:lang w:val="fr-FR"/>
        </w:rPr>
      </w:pPr>
    </w:p>
    <w:p w:rsidR="003046EC" w:rsidRPr="0058014D" w:rsidRDefault="00305EB2" w:rsidP="003046EC">
      <w:pPr>
        <w:pStyle w:val="BodyTextIndent3"/>
        <w:jc w:val="both"/>
      </w:pPr>
      <w:r w:rsidRPr="00A751EC">
        <w:rPr>
          <w:lang w:val="fr-FR"/>
        </w:rPr>
        <w:t>202</w:t>
      </w:r>
      <w:r>
        <w:rPr>
          <w:lang w:val="fr-FR"/>
        </w:rPr>
        <w:t xml:space="preserve">4 FMA, Turin, </w:t>
      </w:r>
      <w:r w:rsidR="00EC5380" w:rsidRPr="00A751EC">
        <w:rPr>
          <w:lang w:val="fr-FR"/>
        </w:rPr>
        <w:t>2023 NYU - LawFin/SAFE - ESCP BS Law</w:t>
      </w:r>
      <w:r>
        <w:rPr>
          <w:lang w:val="fr-FR"/>
        </w:rPr>
        <w:t xml:space="preserve">/Finance &amp; </w:t>
      </w:r>
      <w:r w:rsidR="00EC5380" w:rsidRPr="00A751EC">
        <w:rPr>
          <w:lang w:val="fr-FR"/>
        </w:rPr>
        <w:t>Banking / Finance Conference</w:t>
      </w:r>
      <w:r>
        <w:rPr>
          <w:lang w:val="fr-FR"/>
        </w:rPr>
        <w:t>,</w:t>
      </w:r>
      <w:r w:rsidR="00EC5380" w:rsidRPr="00A751EC">
        <w:rPr>
          <w:lang w:val="fr-FR"/>
        </w:rPr>
        <w:t xml:space="preserve"> </w:t>
      </w:r>
      <w:r w:rsidR="00640C21" w:rsidRPr="00A751EC">
        <w:rPr>
          <w:lang w:val="fr-FR"/>
        </w:rPr>
        <w:t>2022 Madrid Banking Conferen</w:t>
      </w:r>
      <w:r w:rsidR="00640C21">
        <w:t xml:space="preserve">ce, </w:t>
      </w:r>
      <w:r w:rsidR="00A041BA">
        <w:t xml:space="preserve">2020 Cornerstone expert presentation,  KU Leuven, 2019 AFFI, </w:t>
      </w:r>
      <w:r w:rsidR="00E62D5F">
        <w:t xml:space="preserve">2018 AFFI, </w:t>
      </w:r>
      <w:r w:rsidR="00757F62">
        <w:t xml:space="preserve">2017, FIRS Hong Kong, 2016, DGF Bonn, </w:t>
      </w:r>
      <w:r w:rsidR="00043C5D">
        <w:t xml:space="preserve">2016 EFA Annual Meeting Oslo, 2016 ALEA Annual Meeting, Harvard Law School, </w:t>
      </w:r>
      <w:r w:rsidR="003046EC">
        <w:t>2015 EIFR seminar, Paris</w:t>
      </w:r>
      <w:r w:rsidR="00043C5D">
        <w:t>;</w:t>
      </w:r>
      <w:r w:rsidR="003046EC">
        <w:t xml:space="preserve"> </w:t>
      </w:r>
      <w:r w:rsidR="003046EC" w:rsidRPr="0058014D">
        <w:t xml:space="preserve">2014 eabh Annual Meeting, Zurich, IFC Calcutta 2012, CASiM 2012 Leipzig, IFC Bangalore, 2011, FIRS 2008 Anchorage, DG COMP internal seminar 2006, AFFI 2005, CORE Louvain la Neuve, Universität </w:t>
      </w:r>
      <w:r w:rsidR="003046EC" w:rsidRPr="0058014D">
        <w:lastRenderedPageBreak/>
        <w:t xml:space="preserve">Hannover, DEEP Lausanne, K.U. Leuven, EFA 2001 Barcelona, EEA and ESEM 2001 Lausanne, Association Francaise de Finance 2001 Namur, Bank of International Settlement; Econometric Society World Congress; Northwestern University; European Central Bank; Purdue University. </w:t>
      </w:r>
    </w:p>
    <w:p w:rsidR="003046EC" w:rsidRDefault="003046EC" w:rsidP="000A0218">
      <w:pPr>
        <w:pStyle w:val="Heading1"/>
        <w:numPr>
          <w:ilvl w:val="0"/>
          <w:numId w:val="0"/>
        </w:numPr>
        <w:rPr>
          <w:b w:val="0"/>
          <w:szCs w:val="24"/>
        </w:rPr>
      </w:pPr>
    </w:p>
    <w:p w:rsidR="000A0218" w:rsidRPr="0058014D" w:rsidRDefault="000A0218" w:rsidP="000A0218">
      <w:pPr>
        <w:pStyle w:val="Heading1"/>
        <w:numPr>
          <w:ilvl w:val="0"/>
          <w:numId w:val="0"/>
        </w:numPr>
        <w:rPr>
          <w:b w:val="0"/>
          <w:szCs w:val="24"/>
        </w:rPr>
      </w:pPr>
      <w:r w:rsidRPr="0058014D">
        <w:rPr>
          <w:b w:val="0"/>
          <w:szCs w:val="24"/>
        </w:rPr>
        <w:t>Languages</w:t>
      </w:r>
    </w:p>
    <w:p w:rsidR="000A0218" w:rsidRPr="0058014D" w:rsidRDefault="000A0218" w:rsidP="000A0218"/>
    <w:p w:rsidR="00304E11" w:rsidRPr="0058014D" w:rsidRDefault="000A0218">
      <w:r w:rsidRPr="0058014D">
        <w:tab/>
        <w:t>German (native), F</w:t>
      </w:r>
      <w:r w:rsidR="00794FB4">
        <w:t>r</w:t>
      </w:r>
      <w:r w:rsidRPr="0058014D">
        <w:t>ench (fluent), English (fluent)</w:t>
      </w:r>
    </w:p>
    <w:sectPr w:rsidR="00304E11" w:rsidRPr="0058014D" w:rsidSect="00C3049E">
      <w:pgSz w:w="11906" w:h="16838"/>
      <w:pgMar w:top="737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811" w:rsidRDefault="00DF4811" w:rsidP="000C11F8">
      <w:r>
        <w:separator/>
      </w:r>
    </w:p>
  </w:endnote>
  <w:endnote w:type="continuationSeparator" w:id="0">
    <w:p w:rsidR="00DF4811" w:rsidRDefault="00DF4811" w:rsidP="000C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811" w:rsidRDefault="00DF4811" w:rsidP="000C11F8">
      <w:r>
        <w:separator/>
      </w:r>
    </w:p>
  </w:footnote>
  <w:footnote w:type="continuationSeparator" w:id="0">
    <w:p w:rsidR="00DF4811" w:rsidRDefault="00DF4811" w:rsidP="000C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8D"/>
    <w:multiLevelType w:val="hybridMultilevel"/>
    <w:tmpl w:val="FBBE2D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90C"/>
    <w:multiLevelType w:val="multilevel"/>
    <w:tmpl w:val="1CC63786"/>
    <w:lvl w:ilvl="0">
      <w:start w:val="198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4"/>
      <w:numFmt w:val="decimal"/>
      <w:lvlText w:val="%1-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CBD6BA3"/>
    <w:multiLevelType w:val="hybridMultilevel"/>
    <w:tmpl w:val="2AE86D84"/>
    <w:lvl w:ilvl="0" w:tplc="040C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14F46AC"/>
    <w:multiLevelType w:val="hybridMultilevel"/>
    <w:tmpl w:val="30163C54"/>
    <w:lvl w:ilvl="0" w:tplc="E5B61864">
      <w:start w:val="2018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" w15:restartNumberingAfterBreak="0">
    <w:nsid w:val="225F5708"/>
    <w:multiLevelType w:val="hybridMultilevel"/>
    <w:tmpl w:val="2820B4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3A69A4"/>
    <w:multiLevelType w:val="hybridMultilevel"/>
    <w:tmpl w:val="E82EB9A4"/>
    <w:lvl w:ilvl="0" w:tplc="7D06C278">
      <w:start w:val="2018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A80607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tabs>
          <w:tab w:val="num" w:pos="2052"/>
        </w:tabs>
        <w:ind w:left="20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6683C8C"/>
    <w:multiLevelType w:val="hybridMultilevel"/>
    <w:tmpl w:val="7CD464FA"/>
    <w:lvl w:ilvl="0" w:tplc="3A4CD5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A335B68"/>
    <w:multiLevelType w:val="hybridMultilevel"/>
    <w:tmpl w:val="6D8C1016"/>
    <w:lvl w:ilvl="0" w:tplc="4AE6E630">
      <w:start w:val="2016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1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4"/>
  </w:num>
  <w:num w:numId="24">
    <w:abstractNumId w:val="7"/>
  </w:num>
  <w:num w:numId="25">
    <w:abstractNumId w:val="2"/>
  </w:num>
  <w:num w:numId="26">
    <w:abstractNumId w:val="6"/>
  </w:num>
  <w:num w:numId="27">
    <w:abstractNumId w:val="8"/>
  </w:num>
  <w:num w:numId="28">
    <w:abstractNumId w:val="3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18"/>
    <w:rsid w:val="00020819"/>
    <w:rsid w:val="00024B19"/>
    <w:rsid w:val="00027607"/>
    <w:rsid w:val="00043C5D"/>
    <w:rsid w:val="0007052B"/>
    <w:rsid w:val="00070FA9"/>
    <w:rsid w:val="00085C00"/>
    <w:rsid w:val="000A0218"/>
    <w:rsid w:val="000B52CC"/>
    <w:rsid w:val="000C11F8"/>
    <w:rsid w:val="000D7C4A"/>
    <w:rsid w:val="000E1623"/>
    <w:rsid w:val="000E6769"/>
    <w:rsid w:val="00105FA5"/>
    <w:rsid w:val="00113453"/>
    <w:rsid w:val="001278D3"/>
    <w:rsid w:val="00130E24"/>
    <w:rsid w:val="00133C64"/>
    <w:rsid w:val="00151FF0"/>
    <w:rsid w:val="0016466A"/>
    <w:rsid w:val="001B62EC"/>
    <w:rsid w:val="001E6389"/>
    <w:rsid w:val="001F7A08"/>
    <w:rsid w:val="0020276C"/>
    <w:rsid w:val="00213A3D"/>
    <w:rsid w:val="00215060"/>
    <w:rsid w:val="002264C1"/>
    <w:rsid w:val="00233CF5"/>
    <w:rsid w:val="00261272"/>
    <w:rsid w:val="00284BBD"/>
    <w:rsid w:val="002B1AA9"/>
    <w:rsid w:val="002B7343"/>
    <w:rsid w:val="002C6318"/>
    <w:rsid w:val="002D2015"/>
    <w:rsid w:val="002F021D"/>
    <w:rsid w:val="002F57FC"/>
    <w:rsid w:val="00303EA0"/>
    <w:rsid w:val="003046EC"/>
    <w:rsid w:val="00304E11"/>
    <w:rsid w:val="00305EB2"/>
    <w:rsid w:val="003706AA"/>
    <w:rsid w:val="003C0E88"/>
    <w:rsid w:val="003C601B"/>
    <w:rsid w:val="00407D43"/>
    <w:rsid w:val="00414916"/>
    <w:rsid w:val="00417E43"/>
    <w:rsid w:val="00430D81"/>
    <w:rsid w:val="004813FC"/>
    <w:rsid w:val="004E23D5"/>
    <w:rsid w:val="004F0B5C"/>
    <w:rsid w:val="00531E68"/>
    <w:rsid w:val="00565CAE"/>
    <w:rsid w:val="0058014D"/>
    <w:rsid w:val="005B184F"/>
    <w:rsid w:val="005B464D"/>
    <w:rsid w:val="005C73E5"/>
    <w:rsid w:val="005D1C2D"/>
    <w:rsid w:val="005D1F13"/>
    <w:rsid w:val="00620342"/>
    <w:rsid w:val="00640C21"/>
    <w:rsid w:val="006B113E"/>
    <w:rsid w:val="006B4A42"/>
    <w:rsid w:val="006C4F13"/>
    <w:rsid w:val="006C7929"/>
    <w:rsid w:val="006D2714"/>
    <w:rsid w:val="006E038D"/>
    <w:rsid w:val="006F0A9A"/>
    <w:rsid w:val="006F5982"/>
    <w:rsid w:val="00706615"/>
    <w:rsid w:val="0071484D"/>
    <w:rsid w:val="00721257"/>
    <w:rsid w:val="00757F62"/>
    <w:rsid w:val="00776387"/>
    <w:rsid w:val="00794FB4"/>
    <w:rsid w:val="00797422"/>
    <w:rsid w:val="007A1968"/>
    <w:rsid w:val="007A1C4F"/>
    <w:rsid w:val="007B207B"/>
    <w:rsid w:val="007B35E3"/>
    <w:rsid w:val="007B5FC5"/>
    <w:rsid w:val="007C43E2"/>
    <w:rsid w:val="007F545F"/>
    <w:rsid w:val="008175B3"/>
    <w:rsid w:val="008244F0"/>
    <w:rsid w:val="00845A27"/>
    <w:rsid w:val="00852F1F"/>
    <w:rsid w:val="00861146"/>
    <w:rsid w:val="0086172E"/>
    <w:rsid w:val="00870621"/>
    <w:rsid w:val="00870C30"/>
    <w:rsid w:val="008726C5"/>
    <w:rsid w:val="008B3F0E"/>
    <w:rsid w:val="008D7B60"/>
    <w:rsid w:val="008E3053"/>
    <w:rsid w:val="00915ECD"/>
    <w:rsid w:val="00944AAA"/>
    <w:rsid w:val="0095066C"/>
    <w:rsid w:val="00970895"/>
    <w:rsid w:val="00993A1A"/>
    <w:rsid w:val="009C12DD"/>
    <w:rsid w:val="009E3E62"/>
    <w:rsid w:val="009F4C79"/>
    <w:rsid w:val="00A036A9"/>
    <w:rsid w:val="00A041BA"/>
    <w:rsid w:val="00A21396"/>
    <w:rsid w:val="00A24D5E"/>
    <w:rsid w:val="00A255A2"/>
    <w:rsid w:val="00A306D7"/>
    <w:rsid w:val="00A61758"/>
    <w:rsid w:val="00A751EC"/>
    <w:rsid w:val="00A831BB"/>
    <w:rsid w:val="00A950D0"/>
    <w:rsid w:val="00AB2443"/>
    <w:rsid w:val="00AB36C0"/>
    <w:rsid w:val="00AD4D03"/>
    <w:rsid w:val="00B12D54"/>
    <w:rsid w:val="00B21625"/>
    <w:rsid w:val="00B26310"/>
    <w:rsid w:val="00B321C8"/>
    <w:rsid w:val="00B35639"/>
    <w:rsid w:val="00B74C98"/>
    <w:rsid w:val="00B77BE3"/>
    <w:rsid w:val="00BB642E"/>
    <w:rsid w:val="00C02B72"/>
    <w:rsid w:val="00C3049E"/>
    <w:rsid w:val="00C33470"/>
    <w:rsid w:val="00C37370"/>
    <w:rsid w:val="00C43C87"/>
    <w:rsid w:val="00C60550"/>
    <w:rsid w:val="00CC23E7"/>
    <w:rsid w:val="00CD033C"/>
    <w:rsid w:val="00CF2000"/>
    <w:rsid w:val="00D031F5"/>
    <w:rsid w:val="00D04F53"/>
    <w:rsid w:val="00D47A76"/>
    <w:rsid w:val="00D56942"/>
    <w:rsid w:val="00D61E9B"/>
    <w:rsid w:val="00D65BD1"/>
    <w:rsid w:val="00D66795"/>
    <w:rsid w:val="00D7157B"/>
    <w:rsid w:val="00D75EFB"/>
    <w:rsid w:val="00DC683E"/>
    <w:rsid w:val="00DE2C07"/>
    <w:rsid w:val="00DE4F8C"/>
    <w:rsid w:val="00DF4811"/>
    <w:rsid w:val="00DF4BA4"/>
    <w:rsid w:val="00E024E0"/>
    <w:rsid w:val="00E203D9"/>
    <w:rsid w:val="00E524D0"/>
    <w:rsid w:val="00E62D5F"/>
    <w:rsid w:val="00E700E8"/>
    <w:rsid w:val="00E924B5"/>
    <w:rsid w:val="00EC077B"/>
    <w:rsid w:val="00EC36DE"/>
    <w:rsid w:val="00EC5380"/>
    <w:rsid w:val="00ED7974"/>
    <w:rsid w:val="00EE2098"/>
    <w:rsid w:val="00EF749A"/>
    <w:rsid w:val="00F00540"/>
    <w:rsid w:val="00F04353"/>
    <w:rsid w:val="00F652A5"/>
    <w:rsid w:val="00F80729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83661"/>
  <w15:docId w15:val="{B3562B5F-3CC3-43C5-92FC-C3C4F7A3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218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75B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175B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175B3"/>
    <w:pPr>
      <w:numPr>
        <w:ilvl w:val="2"/>
        <w:numId w:val="9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8175B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75B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75B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5B3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175B3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175B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5B3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175B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52F1F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852F1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52F1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52F1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52F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52F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52F1F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52F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52F1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852F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852F1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175B3"/>
    <w:rPr>
      <w:b/>
      <w:bCs/>
    </w:rPr>
  </w:style>
  <w:style w:type="character" w:styleId="Emphasis">
    <w:name w:val="Emphasis"/>
    <w:basedOn w:val="DefaultParagraphFont"/>
    <w:uiPriority w:val="20"/>
    <w:qFormat/>
    <w:rsid w:val="008175B3"/>
    <w:rPr>
      <w:i/>
      <w:iCs/>
    </w:rPr>
  </w:style>
  <w:style w:type="paragraph" w:styleId="NoSpacing">
    <w:name w:val="No Spacing"/>
    <w:basedOn w:val="Normal"/>
    <w:uiPriority w:val="1"/>
    <w:qFormat/>
    <w:rsid w:val="00852F1F"/>
  </w:style>
  <w:style w:type="paragraph" w:styleId="ListParagraph">
    <w:name w:val="List Paragraph"/>
    <w:basedOn w:val="Normal"/>
    <w:uiPriority w:val="34"/>
    <w:qFormat/>
    <w:rsid w:val="00852F1F"/>
    <w:pPr>
      <w:ind w:left="708"/>
    </w:pPr>
  </w:style>
  <w:style w:type="paragraph" w:styleId="Quote">
    <w:name w:val="Quote"/>
    <w:basedOn w:val="Normal"/>
    <w:next w:val="Normal"/>
    <w:link w:val="QuoteChar"/>
    <w:uiPriority w:val="29"/>
    <w:qFormat/>
    <w:rsid w:val="00852F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2F1F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1F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852F1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2F1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52F1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52F1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52F1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2F1F"/>
    <w:pPr>
      <w:numPr>
        <w:numId w:val="0"/>
      </w:numPr>
      <w:outlineLvl w:val="9"/>
    </w:pPr>
    <w:rPr>
      <w:rFonts w:asciiTheme="majorHAnsi" w:eastAsiaTheme="majorEastAsia" w:hAnsiTheme="majorHAnsi" w:cstheme="majorBidi"/>
    </w:rPr>
  </w:style>
  <w:style w:type="paragraph" w:styleId="BodyText2">
    <w:name w:val="Body Text 2"/>
    <w:basedOn w:val="Normal"/>
    <w:link w:val="BodyText2Char"/>
    <w:rsid w:val="000A0218"/>
    <w:pPr>
      <w:spacing w:line="360" w:lineRule="auto"/>
    </w:pPr>
    <w:rPr>
      <w:b/>
      <w:bCs/>
      <w:color w:val="80808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A0218"/>
    <w:rPr>
      <w:b/>
      <w:bCs/>
      <w:color w:val="808080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rsid w:val="000A0218"/>
    <w:pPr>
      <w:ind w:left="567"/>
    </w:pPr>
  </w:style>
  <w:style w:type="character" w:customStyle="1" w:styleId="BodyTextIndent3Char">
    <w:name w:val="Body Text Indent 3 Char"/>
    <w:basedOn w:val="DefaultParagraphFont"/>
    <w:link w:val="BodyTextIndent3"/>
    <w:rsid w:val="000A0218"/>
    <w:rPr>
      <w:sz w:val="24"/>
      <w:szCs w:val="24"/>
      <w:lang w:val="en-US"/>
    </w:rPr>
  </w:style>
  <w:style w:type="paragraph" w:customStyle="1" w:styleId="Default">
    <w:name w:val="Default"/>
    <w:rsid w:val="000A0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36C0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5C73E5"/>
  </w:style>
  <w:style w:type="paragraph" w:styleId="BalloonText">
    <w:name w:val="Balloon Text"/>
    <w:basedOn w:val="Normal"/>
    <w:link w:val="BalloonTextChar"/>
    <w:uiPriority w:val="99"/>
    <w:semiHidden/>
    <w:unhideWhenUsed/>
    <w:rsid w:val="00226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C1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7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7F62"/>
    <w:rPr>
      <w:rFonts w:ascii="Courier New" w:hAnsi="Courier New" w:cs="Courier New"/>
      <w:lang w:val="en-US" w:eastAsia="en-US"/>
    </w:rPr>
  </w:style>
  <w:style w:type="paragraph" w:customStyle="1" w:styleId="zfr3q">
    <w:name w:val="zfr3q"/>
    <w:basedOn w:val="Normal"/>
    <w:rsid w:val="0095066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043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5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53"/>
    <w:rPr>
      <w:sz w:val="24"/>
      <w:szCs w:val="24"/>
      <w:lang w:val="en-US"/>
    </w:rPr>
  </w:style>
  <w:style w:type="paragraph" w:customStyle="1" w:styleId="Authornames">
    <w:name w:val="Author names"/>
    <w:basedOn w:val="Normal"/>
    <w:next w:val="Normal"/>
    <w:qFormat/>
    <w:rsid w:val="00F04353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F04353"/>
    <w:pPr>
      <w:spacing w:before="240" w:line="360" w:lineRule="auto"/>
    </w:pPr>
    <w:rPr>
      <w:i/>
      <w:lang w:val="en-GB" w:eastAsia="en-GB"/>
    </w:rPr>
  </w:style>
  <w:style w:type="character" w:customStyle="1" w:styleId="metadate">
    <w:name w:val="meta__date"/>
    <w:basedOn w:val="DefaultParagraphFont"/>
    <w:rsid w:val="005D1F13"/>
  </w:style>
  <w:style w:type="character" w:customStyle="1" w:styleId="u-visually-hidden">
    <w:name w:val="u-visually-hidden"/>
    <w:basedOn w:val="DefaultParagraphFont"/>
    <w:rsid w:val="00A306D7"/>
  </w:style>
  <w:style w:type="character" w:customStyle="1" w:styleId="in-revue">
    <w:name w:val="in-revue"/>
    <w:basedOn w:val="DefaultParagraphFont"/>
    <w:rsid w:val="001F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vue-banque.fr/risques-reglementations/chronique/reglementation-financiere-decryptee-par-labex-refi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ue-banque.fr/risques-reglementations/chronique/imposons-pas-les-capitaux-propres-des-banques-ma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ournals.cambridge.org/action/displayJournal?jid=F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ege@escp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72B3-1791-43C7-9A2B-C59C66B5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10069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ESCP-EAP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</dc:creator>
  <cp:lastModifiedBy>troege</cp:lastModifiedBy>
  <cp:revision>3</cp:revision>
  <cp:lastPrinted>2024-04-07T08:18:00Z</cp:lastPrinted>
  <dcterms:created xsi:type="dcterms:W3CDTF">2025-06-26T10:36:00Z</dcterms:created>
  <dcterms:modified xsi:type="dcterms:W3CDTF">2025-06-26T10:36:00Z</dcterms:modified>
</cp:coreProperties>
</file>